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CC7" w:rsidRPr="00CA2FA4" w:rsidRDefault="00CA2FA4" w:rsidP="00AE1AB5">
      <w:pPr>
        <w:pStyle w:val="a0"/>
        <w:ind w:firstLine="709"/>
        <w:jc w:val="center"/>
        <w:rPr>
          <w:b/>
          <w:bCs/>
          <w:iCs/>
          <w:sz w:val="26"/>
          <w:szCs w:val="26"/>
          <w:lang w:val="en-US" w:eastAsia="ru-RU"/>
        </w:rPr>
      </w:pPr>
      <w:r>
        <w:rPr>
          <w:b/>
          <w:bCs/>
          <w:iCs/>
          <w:sz w:val="26"/>
          <w:szCs w:val="26"/>
          <w:lang w:val="en-US" w:eastAsia="ru-RU"/>
        </w:rPr>
        <w:t>E</w:t>
      </w:r>
      <w:r w:rsidRPr="001213A2">
        <w:rPr>
          <w:b/>
          <w:bCs/>
          <w:iCs/>
          <w:sz w:val="26"/>
          <w:szCs w:val="26"/>
          <w:lang w:val="en-US" w:eastAsia="ru-RU"/>
        </w:rPr>
        <w:t xml:space="preserve">xplanatory note to the accounting balance sheet and P&amp;L statement </w:t>
      </w:r>
      <w:r>
        <w:rPr>
          <w:b/>
          <w:bCs/>
          <w:iCs/>
          <w:sz w:val="26"/>
          <w:szCs w:val="26"/>
          <w:lang w:val="en-US" w:eastAsia="ru-RU"/>
        </w:rPr>
        <w:t>for</w:t>
      </w:r>
      <w:r w:rsidR="006D1053" w:rsidRPr="00CA2FA4">
        <w:rPr>
          <w:b/>
          <w:bCs/>
          <w:iCs/>
          <w:sz w:val="26"/>
          <w:szCs w:val="26"/>
          <w:lang w:val="en-US" w:eastAsia="ru-RU"/>
        </w:rPr>
        <w:t xml:space="preserve"> 201</w:t>
      </w:r>
      <w:r w:rsidR="00156993" w:rsidRPr="00CA2FA4">
        <w:rPr>
          <w:b/>
          <w:bCs/>
          <w:iCs/>
          <w:sz w:val="26"/>
          <w:szCs w:val="26"/>
          <w:lang w:val="en-US" w:eastAsia="ru-RU"/>
        </w:rPr>
        <w:t>4</w:t>
      </w:r>
      <w:r w:rsidR="006D1053" w:rsidRPr="00CA2FA4">
        <w:rPr>
          <w:b/>
          <w:bCs/>
          <w:iCs/>
          <w:sz w:val="26"/>
          <w:szCs w:val="26"/>
          <w:lang w:val="en-US" w:eastAsia="ru-RU"/>
        </w:rPr>
        <w:t xml:space="preserve"> </w:t>
      </w:r>
    </w:p>
    <w:p w:rsidR="006D1053" w:rsidRPr="00CA2FA4" w:rsidRDefault="006D1053" w:rsidP="00767265">
      <w:pPr>
        <w:pStyle w:val="1"/>
        <w:ind w:firstLine="709"/>
        <w:rPr>
          <w:rFonts w:ascii="13" w:hAnsi="13"/>
          <w:sz w:val="28"/>
          <w:szCs w:val="28"/>
          <w:highlight w:val="cyan"/>
          <w:lang w:val="en-US"/>
        </w:rPr>
      </w:pPr>
    </w:p>
    <w:p w:rsidR="00466CC7" w:rsidRPr="00CA2FA4" w:rsidRDefault="00466CC7" w:rsidP="00466CC7">
      <w:pPr>
        <w:pStyle w:val="a0"/>
        <w:spacing w:line="276" w:lineRule="auto"/>
        <w:ind w:firstLine="709"/>
        <w:rPr>
          <w:rFonts w:ascii="13" w:hAnsi="13"/>
          <w:sz w:val="28"/>
          <w:szCs w:val="28"/>
          <w:lang w:val="en-US"/>
        </w:rPr>
      </w:pPr>
    </w:p>
    <w:p w:rsidR="00466CC7" w:rsidRPr="0077365D" w:rsidRDefault="00CA2FA4" w:rsidP="00834E0A">
      <w:pPr>
        <w:jc w:val="both"/>
        <w:rPr>
          <w:b/>
          <w:sz w:val="24"/>
          <w:szCs w:val="24"/>
          <w:lang w:val="ru-RU"/>
        </w:rPr>
      </w:pPr>
      <w:proofErr w:type="spellStart"/>
      <w:r w:rsidRPr="00CA2FA4">
        <w:rPr>
          <w:b/>
          <w:sz w:val="24"/>
          <w:szCs w:val="24"/>
          <w:lang w:val="ru-RU"/>
        </w:rPr>
        <w:t>Contents</w:t>
      </w:r>
      <w:proofErr w:type="spellEnd"/>
      <w:r w:rsidR="00466CC7" w:rsidRPr="0077365D">
        <w:rPr>
          <w:b/>
          <w:sz w:val="24"/>
          <w:szCs w:val="24"/>
          <w:lang w:val="ru-RU"/>
        </w:rPr>
        <w:t>:</w:t>
      </w:r>
    </w:p>
    <w:p w:rsidR="00D07037" w:rsidRPr="0077365D" w:rsidRDefault="00D07037" w:rsidP="00834E0A">
      <w:pPr>
        <w:jc w:val="both"/>
        <w:rPr>
          <w:b/>
          <w:sz w:val="24"/>
          <w:szCs w:val="24"/>
          <w:lang w:val="ru-RU"/>
        </w:rPr>
      </w:pPr>
    </w:p>
    <w:p w:rsidR="00D07037" w:rsidRPr="00726828" w:rsidRDefault="00726828" w:rsidP="0077365D">
      <w:pPr>
        <w:rPr>
          <w:sz w:val="24"/>
          <w:szCs w:val="24"/>
          <w:lang w:val="en-US"/>
        </w:rPr>
      </w:pPr>
      <w:r>
        <w:rPr>
          <w:sz w:val="24"/>
          <w:szCs w:val="24"/>
          <w:lang w:val="en-US"/>
        </w:rPr>
        <w:t xml:space="preserve">Notes to tables </w:t>
      </w:r>
      <w:r w:rsidR="00D07037" w:rsidRPr="00726828">
        <w:rPr>
          <w:sz w:val="24"/>
          <w:szCs w:val="24"/>
          <w:lang w:val="en-US"/>
        </w:rPr>
        <w:t xml:space="preserve">№2.1 - №5.13, </w:t>
      </w:r>
      <w:r w:rsidRPr="00726828">
        <w:rPr>
          <w:sz w:val="24"/>
          <w:szCs w:val="24"/>
          <w:lang w:val="en-US"/>
        </w:rPr>
        <w:t xml:space="preserve">Appendix 1 to the accounting balance sheet and P&amp;L statement </w:t>
      </w:r>
      <w:r w:rsidR="00EA15E7" w:rsidRPr="00726828">
        <w:rPr>
          <w:sz w:val="24"/>
          <w:szCs w:val="24"/>
          <w:lang w:val="en-US"/>
        </w:rPr>
        <w:t>………………………………………………</w:t>
      </w:r>
      <w:r w:rsidR="0077365D" w:rsidRPr="00726828">
        <w:rPr>
          <w:sz w:val="24"/>
          <w:szCs w:val="24"/>
          <w:lang w:val="en-US"/>
        </w:rPr>
        <w:t>………………</w:t>
      </w:r>
      <w:r>
        <w:rPr>
          <w:sz w:val="24"/>
          <w:szCs w:val="24"/>
          <w:lang w:val="en-US"/>
        </w:rPr>
        <w:t>…………………………………….</w:t>
      </w:r>
      <w:r w:rsidR="0077365D" w:rsidRPr="00726828">
        <w:rPr>
          <w:sz w:val="24"/>
          <w:szCs w:val="24"/>
          <w:lang w:val="en-US"/>
        </w:rPr>
        <w:t>1</w:t>
      </w:r>
    </w:p>
    <w:p w:rsidR="00466CC7" w:rsidRPr="00726828" w:rsidRDefault="00466CC7" w:rsidP="00466CC7">
      <w:pPr>
        <w:pStyle w:val="a0"/>
        <w:spacing w:line="276" w:lineRule="auto"/>
        <w:ind w:firstLine="709"/>
        <w:rPr>
          <w:szCs w:val="24"/>
          <w:lang w:val="en-US"/>
        </w:rPr>
      </w:pPr>
    </w:p>
    <w:p w:rsidR="00867177" w:rsidRPr="0077365D" w:rsidRDefault="0031631D" w:rsidP="00781E35">
      <w:pPr>
        <w:pStyle w:val="11"/>
        <w:rPr>
          <w:rFonts w:eastAsiaTheme="minorEastAsia"/>
          <w:noProof/>
          <w:sz w:val="24"/>
          <w:szCs w:val="24"/>
          <w:lang w:val="en-US"/>
        </w:rPr>
      </w:pPr>
      <w:r w:rsidRPr="0031631D">
        <w:rPr>
          <w:sz w:val="24"/>
          <w:szCs w:val="24"/>
        </w:rPr>
        <w:fldChar w:fldCharType="begin"/>
      </w:r>
      <w:r w:rsidR="00575E70" w:rsidRPr="0077365D">
        <w:rPr>
          <w:sz w:val="24"/>
          <w:szCs w:val="24"/>
        </w:rPr>
        <w:instrText xml:space="preserve"> TOC \h \z \u \t "Heading 2;1;Heading 8;2" </w:instrText>
      </w:r>
      <w:r w:rsidRPr="0031631D">
        <w:rPr>
          <w:sz w:val="24"/>
          <w:szCs w:val="24"/>
        </w:rPr>
        <w:fldChar w:fldCharType="separate"/>
      </w:r>
      <w:hyperlink w:anchor="_Toc381199324" w:history="1">
        <w:r w:rsidR="00867177" w:rsidRPr="0077365D">
          <w:rPr>
            <w:rStyle w:val="af4"/>
            <w:noProof/>
            <w:sz w:val="24"/>
            <w:szCs w:val="24"/>
          </w:rPr>
          <w:t>1.</w:t>
        </w:r>
        <w:r w:rsidR="00867177" w:rsidRPr="0077365D">
          <w:rPr>
            <w:rFonts w:eastAsiaTheme="minorEastAsia"/>
            <w:noProof/>
            <w:sz w:val="24"/>
            <w:szCs w:val="24"/>
            <w:lang w:val="en-US"/>
          </w:rPr>
          <w:tab/>
        </w:r>
        <w:r w:rsidR="00D71EE2" w:rsidRPr="00CA2FA4">
          <w:rPr>
            <w:szCs w:val="24"/>
            <w:lang w:val="en-US"/>
          </w:rPr>
          <w:t>General information on the Company</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_Toc381199324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Pr="0077365D">
          <w:rPr>
            <w:noProof/>
            <w:webHidden/>
            <w:sz w:val="24"/>
            <w:szCs w:val="24"/>
          </w:rPr>
          <w:fldChar w:fldCharType="end"/>
        </w:r>
      </w:hyperlink>
    </w:p>
    <w:p w:rsidR="00867177" w:rsidRPr="00032F67" w:rsidRDefault="00781E35">
      <w:pPr>
        <w:pStyle w:val="11"/>
        <w:rPr>
          <w:rFonts w:eastAsiaTheme="minorEastAsia"/>
          <w:noProof/>
          <w:sz w:val="24"/>
          <w:szCs w:val="24"/>
          <w:lang w:val="en-US"/>
        </w:rPr>
      </w:pPr>
      <w:r w:rsidRPr="00032F67">
        <w:rPr>
          <w:noProof/>
          <w:sz w:val="24"/>
          <w:szCs w:val="24"/>
          <w:lang w:val="en-US"/>
        </w:rPr>
        <w:t>2.</w:t>
      </w:r>
      <w:r w:rsidRPr="00032F67">
        <w:rPr>
          <w:noProof/>
          <w:sz w:val="24"/>
          <w:szCs w:val="24"/>
          <w:lang w:val="en-US"/>
        </w:rPr>
        <w:tab/>
      </w:r>
      <w:r w:rsidR="00032F67" w:rsidRPr="0064693C">
        <w:rPr>
          <w:rFonts w:ascii="13" w:hAnsi="13"/>
          <w:bCs/>
          <w:szCs w:val="24"/>
          <w:lang w:val="en-US"/>
        </w:rPr>
        <w:t>General rules of the accounting reporting and short description of the main provisions of the accounting policy</w:t>
      </w:r>
      <w:r w:rsidRPr="00032F67">
        <w:rPr>
          <w:noProof/>
          <w:sz w:val="24"/>
          <w:szCs w:val="24"/>
          <w:lang w:val="en-US"/>
        </w:rPr>
        <w:tab/>
        <w:t>5</w:t>
      </w:r>
    </w:p>
    <w:p w:rsidR="00867177" w:rsidRPr="0077365D" w:rsidRDefault="0031631D" w:rsidP="00781E35">
      <w:pPr>
        <w:pStyle w:val="11"/>
        <w:rPr>
          <w:rFonts w:eastAsiaTheme="minorEastAsia"/>
          <w:noProof/>
          <w:sz w:val="24"/>
          <w:szCs w:val="24"/>
          <w:lang w:val="en-US"/>
        </w:rPr>
      </w:pPr>
      <w:hyperlink w:anchor="_Toc381199326" w:history="1">
        <w:r w:rsidR="00867177" w:rsidRPr="0077365D">
          <w:rPr>
            <w:rStyle w:val="af4"/>
            <w:noProof/>
            <w:sz w:val="24"/>
            <w:szCs w:val="24"/>
          </w:rPr>
          <w:t>3.</w:t>
        </w:r>
        <w:r w:rsidR="00867177" w:rsidRPr="0077365D">
          <w:rPr>
            <w:rFonts w:eastAsiaTheme="minorEastAsia"/>
            <w:noProof/>
            <w:sz w:val="24"/>
            <w:szCs w:val="24"/>
            <w:lang w:val="en-US"/>
          </w:rPr>
          <w:tab/>
        </w:r>
        <w:r w:rsidR="00032F67" w:rsidRPr="0064693C">
          <w:rPr>
            <w:rFonts w:ascii="13" w:hAnsi="13"/>
            <w:bCs/>
            <w:szCs w:val="24"/>
          </w:rPr>
          <w:t>Disclosure of essential indicators</w:t>
        </w:r>
        <w:r w:rsidR="00867177" w:rsidRPr="0077365D">
          <w:rPr>
            <w:noProof/>
            <w:webHidden/>
            <w:sz w:val="24"/>
            <w:szCs w:val="24"/>
          </w:rPr>
          <w:tab/>
        </w:r>
        <w:r w:rsidR="006C289A">
          <w:rPr>
            <w:noProof/>
            <w:webHidden/>
            <w:sz w:val="24"/>
            <w:szCs w:val="24"/>
          </w:rPr>
          <w:t>8</w:t>
        </w:r>
      </w:hyperlink>
    </w:p>
    <w:p w:rsidR="00867177" w:rsidRPr="0077365D" w:rsidRDefault="0031631D">
      <w:pPr>
        <w:pStyle w:val="26"/>
        <w:rPr>
          <w:rFonts w:eastAsiaTheme="minorEastAsia"/>
          <w:noProof/>
          <w:sz w:val="24"/>
          <w:szCs w:val="24"/>
          <w:lang w:val="en-US"/>
        </w:rPr>
      </w:pPr>
      <w:hyperlink w:anchor="_Toc381199327" w:history="1">
        <w:r w:rsidR="00867177" w:rsidRPr="0077365D">
          <w:rPr>
            <w:rStyle w:val="af4"/>
            <w:noProof/>
            <w:sz w:val="24"/>
            <w:szCs w:val="24"/>
          </w:rPr>
          <w:t>3.1.</w:t>
        </w:r>
        <w:r w:rsidR="00867177" w:rsidRPr="0077365D">
          <w:rPr>
            <w:rFonts w:eastAsiaTheme="minorEastAsia"/>
            <w:noProof/>
            <w:sz w:val="24"/>
            <w:szCs w:val="24"/>
            <w:lang w:val="en-US"/>
          </w:rPr>
          <w:tab/>
        </w:r>
        <w:r w:rsidR="00317D90" w:rsidRPr="0064693C">
          <w:rPr>
            <w:lang w:val="en-US"/>
          </w:rPr>
          <w:t>Information on transactions in foreign currency</w:t>
        </w:r>
        <w:r w:rsidR="00867177" w:rsidRPr="0077365D">
          <w:rPr>
            <w:noProof/>
            <w:webHidden/>
            <w:sz w:val="24"/>
            <w:szCs w:val="24"/>
          </w:rPr>
          <w:tab/>
        </w:r>
        <w:r w:rsidR="006C289A">
          <w:rPr>
            <w:noProof/>
            <w:webHidden/>
            <w:sz w:val="24"/>
            <w:szCs w:val="24"/>
          </w:rPr>
          <w:t>8</w:t>
        </w:r>
      </w:hyperlink>
    </w:p>
    <w:p w:rsidR="00867177" w:rsidRPr="0077365D" w:rsidRDefault="0031631D">
      <w:pPr>
        <w:pStyle w:val="26"/>
        <w:rPr>
          <w:rFonts w:eastAsiaTheme="minorEastAsia"/>
          <w:noProof/>
          <w:sz w:val="24"/>
          <w:szCs w:val="24"/>
          <w:lang w:val="en-US"/>
        </w:rPr>
      </w:pPr>
      <w:hyperlink w:anchor="_Toc381199328" w:history="1">
        <w:r w:rsidR="00867177" w:rsidRPr="0077365D">
          <w:rPr>
            <w:rStyle w:val="af4"/>
            <w:noProof/>
            <w:sz w:val="24"/>
            <w:szCs w:val="24"/>
          </w:rPr>
          <w:t>3.2.</w:t>
        </w:r>
        <w:r w:rsidR="00867177" w:rsidRPr="0077365D">
          <w:rPr>
            <w:rFonts w:eastAsiaTheme="minorEastAsia"/>
            <w:noProof/>
            <w:sz w:val="24"/>
            <w:szCs w:val="24"/>
            <w:lang w:val="en-US"/>
          </w:rPr>
          <w:tab/>
        </w:r>
        <w:r w:rsidR="006C289A" w:rsidRPr="0064693C">
          <w:t>Information on inventories</w:t>
        </w:r>
        <w:r w:rsidR="00867177" w:rsidRPr="0077365D">
          <w:rPr>
            <w:noProof/>
            <w:webHidden/>
            <w:sz w:val="24"/>
            <w:szCs w:val="24"/>
          </w:rPr>
          <w:tab/>
        </w:r>
        <w:r w:rsidR="006C289A">
          <w:rPr>
            <w:noProof/>
            <w:webHidden/>
            <w:sz w:val="24"/>
            <w:szCs w:val="24"/>
          </w:rPr>
          <w:t>8</w:t>
        </w:r>
      </w:hyperlink>
    </w:p>
    <w:p w:rsidR="00867177" w:rsidRPr="0077365D" w:rsidRDefault="0031631D">
      <w:pPr>
        <w:pStyle w:val="26"/>
        <w:rPr>
          <w:rFonts w:eastAsiaTheme="minorEastAsia"/>
          <w:noProof/>
          <w:sz w:val="24"/>
          <w:szCs w:val="24"/>
          <w:lang w:val="en-US"/>
        </w:rPr>
      </w:pPr>
      <w:hyperlink w:anchor="_Toc381199330" w:history="1">
        <w:r w:rsidR="00867177" w:rsidRPr="0077365D">
          <w:rPr>
            <w:rStyle w:val="af4"/>
            <w:noProof/>
            <w:sz w:val="24"/>
            <w:szCs w:val="24"/>
          </w:rPr>
          <w:t>3.3.</w:t>
        </w:r>
        <w:r w:rsidR="00867177" w:rsidRPr="0077365D">
          <w:rPr>
            <w:rFonts w:eastAsiaTheme="minorEastAsia"/>
            <w:noProof/>
            <w:sz w:val="24"/>
            <w:szCs w:val="24"/>
            <w:lang w:val="en-US"/>
          </w:rPr>
          <w:tab/>
        </w:r>
        <w:r w:rsidR="006C289A" w:rsidRPr="0064693C">
          <w:t>Information on fixed assets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_Toc381199330 \h </w:instrText>
        </w:r>
        <w:r w:rsidRPr="0077365D">
          <w:rPr>
            <w:noProof/>
            <w:webHidden/>
            <w:sz w:val="24"/>
            <w:szCs w:val="24"/>
          </w:rPr>
        </w:r>
        <w:r w:rsidRPr="0077365D">
          <w:rPr>
            <w:noProof/>
            <w:webHidden/>
            <w:sz w:val="24"/>
            <w:szCs w:val="24"/>
          </w:rPr>
          <w:fldChar w:fldCharType="separate"/>
        </w:r>
        <w:r w:rsidR="00E31200">
          <w:rPr>
            <w:noProof/>
            <w:webHidden/>
            <w:sz w:val="24"/>
            <w:szCs w:val="24"/>
          </w:rPr>
          <w:t>9</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31" w:history="1">
        <w:r w:rsidR="00867177" w:rsidRPr="0077365D">
          <w:rPr>
            <w:rStyle w:val="af4"/>
            <w:noProof/>
            <w:sz w:val="24"/>
            <w:szCs w:val="24"/>
          </w:rPr>
          <w:t>3.4.</w:t>
        </w:r>
        <w:r w:rsidR="00867177" w:rsidRPr="0077365D">
          <w:rPr>
            <w:rFonts w:eastAsiaTheme="minorEastAsia"/>
            <w:noProof/>
            <w:sz w:val="24"/>
            <w:szCs w:val="24"/>
            <w:lang w:val="en-US"/>
          </w:rPr>
          <w:tab/>
        </w:r>
        <w:r w:rsidR="006C289A" w:rsidRPr="0064693C">
          <w:rPr>
            <w:lang w:val="en-US"/>
          </w:rPr>
          <w:t>Information</w:t>
        </w:r>
        <w:r w:rsidR="006C289A" w:rsidRPr="0064693C">
          <w:t xml:space="preserve"> </w:t>
        </w:r>
        <w:r w:rsidR="006C289A" w:rsidRPr="0064693C">
          <w:rPr>
            <w:lang w:val="en-US"/>
          </w:rPr>
          <w:t>on</w:t>
        </w:r>
        <w:r w:rsidR="006C289A" w:rsidRPr="0064693C">
          <w:t xml:space="preserve"> </w:t>
        </w:r>
        <w:r w:rsidR="006C289A" w:rsidRPr="0064693C">
          <w:rPr>
            <w:lang w:val="en-US"/>
          </w:rPr>
          <w:t>intangible</w:t>
        </w:r>
        <w:r w:rsidR="006C289A" w:rsidRPr="0064693C">
          <w:t xml:space="preserve"> </w:t>
        </w:r>
        <w:r w:rsidR="006C289A" w:rsidRPr="0064693C">
          <w:rPr>
            <w:lang w:val="en-US"/>
          </w:rPr>
          <w:t>assets</w:t>
        </w:r>
        <w:r w:rsidR="00867177" w:rsidRPr="0077365D">
          <w:rPr>
            <w:noProof/>
            <w:webHidden/>
            <w:sz w:val="24"/>
            <w:szCs w:val="24"/>
          </w:rPr>
          <w:tab/>
        </w:r>
        <w:r w:rsidR="006C289A">
          <w:rPr>
            <w:noProof/>
            <w:webHidden/>
            <w:sz w:val="24"/>
            <w:szCs w:val="24"/>
          </w:rPr>
          <w:t>9</w:t>
        </w:r>
      </w:hyperlink>
    </w:p>
    <w:p w:rsidR="00867177" w:rsidRPr="0077365D" w:rsidRDefault="0031631D">
      <w:pPr>
        <w:pStyle w:val="26"/>
        <w:rPr>
          <w:rFonts w:eastAsiaTheme="minorEastAsia"/>
          <w:noProof/>
          <w:sz w:val="24"/>
          <w:szCs w:val="24"/>
          <w:lang w:val="en-US"/>
        </w:rPr>
      </w:pPr>
      <w:hyperlink w:anchor="_Toc381199332" w:history="1">
        <w:r w:rsidR="00867177" w:rsidRPr="0077365D">
          <w:rPr>
            <w:rStyle w:val="af4"/>
            <w:noProof/>
            <w:sz w:val="24"/>
            <w:szCs w:val="24"/>
          </w:rPr>
          <w:t>3.5.</w:t>
        </w:r>
        <w:r w:rsidR="00867177" w:rsidRPr="0077365D">
          <w:rPr>
            <w:rFonts w:eastAsiaTheme="minorEastAsia"/>
            <w:noProof/>
            <w:sz w:val="24"/>
            <w:szCs w:val="24"/>
            <w:lang w:val="en-US"/>
          </w:rPr>
          <w:tab/>
        </w:r>
        <w:r w:rsidR="006C289A" w:rsidRPr="0064693C">
          <w:t>Information on receivables and payables</w:t>
        </w:r>
        <w:r w:rsidR="00867177" w:rsidRPr="0077365D">
          <w:rPr>
            <w:noProof/>
            <w:webHidden/>
            <w:sz w:val="24"/>
            <w:szCs w:val="24"/>
          </w:rPr>
          <w:tab/>
        </w:r>
        <w:r w:rsidR="006C289A">
          <w:rPr>
            <w:noProof/>
            <w:webHidden/>
            <w:sz w:val="24"/>
            <w:szCs w:val="24"/>
          </w:rPr>
          <w:t>9</w:t>
        </w:r>
      </w:hyperlink>
    </w:p>
    <w:p w:rsidR="00867177" w:rsidRPr="0077365D" w:rsidRDefault="0031631D">
      <w:pPr>
        <w:pStyle w:val="26"/>
        <w:rPr>
          <w:rFonts w:eastAsiaTheme="minorEastAsia"/>
          <w:noProof/>
          <w:sz w:val="24"/>
          <w:szCs w:val="24"/>
          <w:lang w:val="en-US"/>
        </w:rPr>
      </w:pPr>
      <w:hyperlink w:anchor="_Toc381199333" w:history="1">
        <w:r w:rsidR="00867177" w:rsidRPr="0077365D">
          <w:rPr>
            <w:rStyle w:val="af4"/>
            <w:noProof/>
            <w:sz w:val="24"/>
            <w:szCs w:val="24"/>
          </w:rPr>
          <w:t>3.6.</w:t>
        </w:r>
        <w:r w:rsidR="00867177" w:rsidRPr="0077365D">
          <w:rPr>
            <w:rFonts w:eastAsiaTheme="minorEastAsia"/>
            <w:noProof/>
            <w:sz w:val="24"/>
            <w:szCs w:val="24"/>
            <w:lang w:val="en-US"/>
          </w:rPr>
          <w:tab/>
        </w:r>
        <w:r w:rsidR="006C289A" w:rsidRPr="0064693C">
          <w:rPr>
            <w:lang w:val="en-US"/>
          </w:rPr>
          <w:t>Information on credits and loans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_Toc381199333 \h </w:instrText>
        </w:r>
        <w:r w:rsidRPr="0077365D">
          <w:rPr>
            <w:noProof/>
            <w:webHidden/>
            <w:sz w:val="24"/>
            <w:szCs w:val="24"/>
          </w:rPr>
        </w:r>
        <w:r w:rsidRPr="0077365D">
          <w:rPr>
            <w:noProof/>
            <w:webHidden/>
            <w:sz w:val="24"/>
            <w:szCs w:val="24"/>
          </w:rPr>
          <w:fldChar w:fldCharType="separate"/>
        </w:r>
        <w:r w:rsidR="00E31200">
          <w:rPr>
            <w:noProof/>
            <w:webHidden/>
            <w:sz w:val="24"/>
            <w:szCs w:val="24"/>
          </w:rPr>
          <w:t>10</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34" w:history="1">
        <w:r w:rsidR="00867177" w:rsidRPr="0077365D">
          <w:rPr>
            <w:rStyle w:val="af4"/>
            <w:noProof/>
            <w:sz w:val="24"/>
            <w:szCs w:val="24"/>
          </w:rPr>
          <w:t>3.7.</w:t>
        </w:r>
        <w:r w:rsidR="00867177" w:rsidRPr="0077365D">
          <w:rPr>
            <w:rFonts w:eastAsiaTheme="minorEastAsia"/>
            <w:noProof/>
            <w:sz w:val="24"/>
            <w:szCs w:val="24"/>
            <w:lang w:val="en-US"/>
          </w:rPr>
          <w:tab/>
        </w:r>
        <w:r w:rsidR="006C289A" w:rsidRPr="0064693C">
          <w:t>Information on financial investments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_Toc381199334 \h </w:instrText>
        </w:r>
        <w:r w:rsidRPr="0077365D">
          <w:rPr>
            <w:noProof/>
            <w:webHidden/>
            <w:sz w:val="24"/>
            <w:szCs w:val="24"/>
          </w:rPr>
        </w:r>
        <w:r w:rsidRPr="0077365D">
          <w:rPr>
            <w:noProof/>
            <w:webHidden/>
            <w:sz w:val="24"/>
            <w:szCs w:val="24"/>
          </w:rPr>
          <w:fldChar w:fldCharType="separate"/>
        </w:r>
        <w:r w:rsidR="00E31200">
          <w:rPr>
            <w:noProof/>
            <w:webHidden/>
            <w:sz w:val="24"/>
            <w:szCs w:val="24"/>
          </w:rPr>
          <w:t>1</w:t>
        </w:r>
        <w:r w:rsidR="006C289A">
          <w:rPr>
            <w:noProof/>
            <w:webHidden/>
            <w:sz w:val="24"/>
            <w:szCs w:val="24"/>
          </w:rPr>
          <w:t>0</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35" w:history="1">
        <w:r w:rsidR="00867177" w:rsidRPr="0077365D">
          <w:rPr>
            <w:rStyle w:val="af4"/>
            <w:noProof/>
            <w:sz w:val="24"/>
            <w:szCs w:val="24"/>
          </w:rPr>
          <w:t>3.8.</w:t>
        </w:r>
        <w:r w:rsidR="00867177" w:rsidRPr="0077365D">
          <w:rPr>
            <w:rFonts w:eastAsiaTheme="minorEastAsia"/>
            <w:noProof/>
            <w:sz w:val="24"/>
            <w:szCs w:val="24"/>
            <w:lang w:val="en-US"/>
          </w:rPr>
          <w:tab/>
        </w:r>
        <w:r w:rsidR="006C289A" w:rsidRPr="0064693C">
          <w:t>Information on contingencies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_Toc381199335 \h </w:instrText>
        </w:r>
        <w:r w:rsidRPr="0077365D">
          <w:rPr>
            <w:noProof/>
            <w:webHidden/>
            <w:sz w:val="24"/>
            <w:szCs w:val="24"/>
          </w:rPr>
        </w:r>
        <w:r w:rsidRPr="0077365D">
          <w:rPr>
            <w:noProof/>
            <w:webHidden/>
            <w:sz w:val="24"/>
            <w:szCs w:val="24"/>
          </w:rPr>
          <w:fldChar w:fldCharType="separate"/>
        </w:r>
        <w:r w:rsidR="00E31200">
          <w:rPr>
            <w:noProof/>
            <w:webHidden/>
            <w:sz w:val="24"/>
            <w:szCs w:val="24"/>
          </w:rPr>
          <w:t>1</w:t>
        </w:r>
        <w:r w:rsidR="006C289A">
          <w:rPr>
            <w:noProof/>
            <w:webHidden/>
            <w:sz w:val="24"/>
            <w:szCs w:val="24"/>
          </w:rPr>
          <w:t>0</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37" w:history="1">
        <w:r w:rsidR="00867177" w:rsidRPr="0077365D">
          <w:rPr>
            <w:rStyle w:val="af4"/>
            <w:noProof/>
            <w:sz w:val="24"/>
            <w:szCs w:val="24"/>
          </w:rPr>
          <w:t>3.9.</w:t>
        </w:r>
        <w:r w:rsidR="00867177" w:rsidRPr="0077365D">
          <w:rPr>
            <w:rFonts w:eastAsiaTheme="minorEastAsia"/>
            <w:noProof/>
            <w:sz w:val="24"/>
            <w:szCs w:val="24"/>
            <w:lang w:val="en-US"/>
          </w:rPr>
          <w:tab/>
        </w:r>
        <w:r w:rsidR="006C289A" w:rsidRPr="0064693C">
          <w:t>Information on income</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_Toc381199337 \h </w:instrText>
        </w:r>
        <w:r w:rsidRPr="0077365D">
          <w:rPr>
            <w:noProof/>
            <w:webHidden/>
            <w:sz w:val="24"/>
            <w:szCs w:val="24"/>
          </w:rPr>
        </w:r>
        <w:r w:rsidRPr="0077365D">
          <w:rPr>
            <w:noProof/>
            <w:webHidden/>
            <w:sz w:val="24"/>
            <w:szCs w:val="24"/>
          </w:rPr>
          <w:fldChar w:fldCharType="separate"/>
        </w:r>
        <w:r w:rsidR="00E31200">
          <w:rPr>
            <w:noProof/>
            <w:webHidden/>
            <w:sz w:val="24"/>
            <w:szCs w:val="24"/>
          </w:rPr>
          <w:t>1</w:t>
        </w:r>
        <w:r w:rsidR="006C289A">
          <w:rPr>
            <w:noProof/>
            <w:webHidden/>
            <w:sz w:val="24"/>
            <w:szCs w:val="24"/>
          </w:rPr>
          <w:t>1</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39" w:history="1">
        <w:r w:rsidR="00867177" w:rsidRPr="0077365D">
          <w:rPr>
            <w:rStyle w:val="af4"/>
            <w:noProof/>
            <w:sz w:val="24"/>
            <w:szCs w:val="24"/>
          </w:rPr>
          <w:t>3.10.</w:t>
        </w:r>
        <w:r w:rsidR="00867177" w:rsidRPr="0077365D">
          <w:rPr>
            <w:rFonts w:eastAsiaTheme="minorEastAsia"/>
            <w:noProof/>
            <w:sz w:val="24"/>
            <w:szCs w:val="24"/>
            <w:lang w:val="en-US"/>
          </w:rPr>
          <w:tab/>
        </w:r>
        <w:r w:rsidR="006C289A">
          <w:rPr>
            <w:lang w:val="en-US"/>
          </w:rPr>
          <w:t>I</w:t>
        </w:r>
        <w:r w:rsidR="006C289A" w:rsidRPr="00C9788F">
          <w:t>nformation on expenses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_Toc381199339 \h </w:instrText>
        </w:r>
        <w:r w:rsidRPr="0077365D">
          <w:rPr>
            <w:noProof/>
            <w:webHidden/>
            <w:sz w:val="24"/>
            <w:szCs w:val="24"/>
          </w:rPr>
        </w:r>
        <w:r w:rsidRPr="0077365D">
          <w:rPr>
            <w:noProof/>
            <w:webHidden/>
            <w:sz w:val="24"/>
            <w:szCs w:val="24"/>
          </w:rPr>
          <w:fldChar w:fldCharType="separate"/>
        </w:r>
        <w:r w:rsidR="00E31200">
          <w:rPr>
            <w:noProof/>
            <w:webHidden/>
            <w:sz w:val="24"/>
            <w:szCs w:val="24"/>
          </w:rPr>
          <w:t>1</w:t>
        </w:r>
        <w:r w:rsidR="006C289A">
          <w:rPr>
            <w:noProof/>
            <w:webHidden/>
            <w:sz w:val="24"/>
            <w:szCs w:val="24"/>
          </w:rPr>
          <w:t>1</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40" w:history="1">
        <w:r w:rsidR="00867177" w:rsidRPr="0077365D">
          <w:rPr>
            <w:rStyle w:val="af4"/>
            <w:noProof/>
            <w:sz w:val="24"/>
            <w:szCs w:val="24"/>
          </w:rPr>
          <w:t>3.11.</w:t>
        </w:r>
        <w:r w:rsidR="00867177" w:rsidRPr="0077365D">
          <w:rPr>
            <w:rFonts w:eastAsiaTheme="minorEastAsia"/>
            <w:noProof/>
            <w:sz w:val="24"/>
            <w:szCs w:val="24"/>
            <w:lang w:val="en-US"/>
          </w:rPr>
          <w:tab/>
        </w:r>
        <w:r w:rsidR="006C289A">
          <w:rPr>
            <w:lang w:val="en-US"/>
          </w:rPr>
          <w:t>I</w:t>
        </w:r>
        <w:r w:rsidR="006C289A" w:rsidRPr="007320FC">
          <w:rPr>
            <w:lang w:val="en-US"/>
          </w:rPr>
          <w:t>nformation on related parties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_Toc381199340 \h </w:instrText>
        </w:r>
        <w:r w:rsidRPr="0077365D">
          <w:rPr>
            <w:noProof/>
            <w:webHidden/>
            <w:sz w:val="24"/>
            <w:szCs w:val="24"/>
          </w:rPr>
        </w:r>
        <w:r w:rsidRPr="0077365D">
          <w:rPr>
            <w:noProof/>
            <w:webHidden/>
            <w:sz w:val="24"/>
            <w:szCs w:val="24"/>
          </w:rPr>
          <w:fldChar w:fldCharType="separate"/>
        </w:r>
        <w:r w:rsidR="00E31200">
          <w:rPr>
            <w:noProof/>
            <w:webHidden/>
            <w:sz w:val="24"/>
            <w:szCs w:val="24"/>
          </w:rPr>
          <w:t>1</w:t>
        </w:r>
        <w:r w:rsidR="006C289A">
          <w:rPr>
            <w:noProof/>
            <w:webHidden/>
            <w:sz w:val="24"/>
            <w:szCs w:val="24"/>
          </w:rPr>
          <w:t>2</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41" w:history="1">
        <w:r w:rsidR="00867177" w:rsidRPr="0077365D">
          <w:rPr>
            <w:rStyle w:val="af4"/>
            <w:noProof/>
            <w:sz w:val="24"/>
            <w:szCs w:val="24"/>
          </w:rPr>
          <w:t>3.12.</w:t>
        </w:r>
        <w:r w:rsidR="00867177" w:rsidRPr="0077365D">
          <w:rPr>
            <w:rFonts w:eastAsiaTheme="minorEastAsia"/>
            <w:noProof/>
            <w:sz w:val="24"/>
            <w:szCs w:val="24"/>
            <w:lang w:val="en-US"/>
          </w:rPr>
          <w:tab/>
        </w:r>
        <w:r w:rsidR="006C289A" w:rsidRPr="0082031A">
          <w:t>Information on segments</w:t>
        </w:r>
        <w:r w:rsidR="00867177" w:rsidRPr="0077365D">
          <w:rPr>
            <w:noProof/>
            <w:webHidden/>
            <w:sz w:val="24"/>
            <w:szCs w:val="24"/>
          </w:rPr>
          <w:tab/>
        </w:r>
        <w:r w:rsidR="006C289A">
          <w:rPr>
            <w:noProof/>
            <w:webHidden/>
            <w:sz w:val="24"/>
            <w:szCs w:val="24"/>
          </w:rPr>
          <w:t>18</w:t>
        </w:r>
      </w:hyperlink>
    </w:p>
    <w:p w:rsidR="00867177" w:rsidRPr="0077365D" w:rsidRDefault="0031631D">
      <w:pPr>
        <w:pStyle w:val="26"/>
        <w:rPr>
          <w:rFonts w:eastAsiaTheme="minorEastAsia"/>
          <w:noProof/>
          <w:sz w:val="24"/>
          <w:szCs w:val="24"/>
          <w:lang w:val="en-US"/>
        </w:rPr>
      </w:pPr>
      <w:hyperlink w:anchor="_Toc381199342" w:history="1">
        <w:r w:rsidR="00867177" w:rsidRPr="0077365D">
          <w:rPr>
            <w:rStyle w:val="af4"/>
            <w:noProof/>
            <w:sz w:val="24"/>
            <w:szCs w:val="24"/>
          </w:rPr>
          <w:t>3.13.</w:t>
        </w:r>
        <w:r w:rsidR="00867177" w:rsidRPr="0077365D">
          <w:rPr>
            <w:rFonts w:eastAsiaTheme="minorEastAsia"/>
            <w:noProof/>
            <w:sz w:val="24"/>
            <w:szCs w:val="24"/>
            <w:lang w:val="en-US"/>
          </w:rPr>
          <w:tab/>
        </w:r>
        <w:r w:rsidR="00F42B5E" w:rsidRPr="00F22AED">
          <w:rPr>
            <w:lang w:val="en-US"/>
          </w:rPr>
          <w:t>Information on calculation of profit tax</w:t>
        </w:r>
        <w:r w:rsidR="00867177" w:rsidRPr="0077365D">
          <w:rPr>
            <w:noProof/>
            <w:webHidden/>
            <w:sz w:val="24"/>
            <w:szCs w:val="24"/>
          </w:rPr>
          <w:tab/>
        </w:r>
        <w:r w:rsidR="00F42B5E">
          <w:rPr>
            <w:noProof/>
            <w:webHidden/>
            <w:sz w:val="24"/>
            <w:szCs w:val="24"/>
          </w:rPr>
          <w:t>19</w:t>
        </w:r>
      </w:hyperlink>
    </w:p>
    <w:p w:rsidR="00867177" w:rsidRPr="0077365D" w:rsidRDefault="0031631D">
      <w:pPr>
        <w:pStyle w:val="26"/>
        <w:rPr>
          <w:rFonts w:eastAsiaTheme="minorEastAsia"/>
          <w:noProof/>
          <w:sz w:val="24"/>
          <w:szCs w:val="24"/>
          <w:lang w:val="en-US"/>
        </w:rPr>
      </w:pPr>
      <w:hyperlink w:anchor="_Toc381199343" w:history="1">
        <w:r w:rsidR="00867177" w:rsidRPr="0077365D">
          <w:rPr>
            <w:rStyle w:val="af4"/>
            <w:noProof/>
            <w:sz w:val="24"/>
            <w:szCs w:val="24"/>
          </w:rPr>
          <w:t>3.14.</w:t>
        </w:r>
        <w:r w:rsidR="00867177" w:rsidRPr="0077365D">
          <w:rPr>
            <w:rFonts w:eastAsiaTheme="minorEastAsia"/>
            <w:noProof/>
            <w:sz w:val="24"/>
            <w:szCs w:val="24"/>
            <w:lang w:val="en-US"/>
          </w:rPr>
          <w:tab/>
        </w:r>
        <w:r w:rsidR="00C15F9C" w:rsidRPr="00751CC3">
          <w:rPr>
            <w:lang w:val="en-US"/>
          </w:rPr>
          <w:t>Information on participation in joint activity</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_Toc381199343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C15F9C">
          <w:rPr>
            <w:noProof/>
            <w:webHidden/>
            <w:sz w:val="24"/>
            <w:szCs w:val="24"/>
          </w:rPr>
          <w:t>1</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44" w:history="1">
        <w:r w:rsidR="00867177" w:rsidRPr="0077365D">
          <w:rPr>
            <w:rStyle w:val="af4"/>
            <w:noProof/>
            <w:sz w:val="24"/>
            <w:szCs w:val="24"/>
          </w:rPr>
          <w:t>3.15.</w:t>
        </w:r>
        <w:r w:rsidR="00867177" w:rsidRPr="0077365D">
          <w:rPr>
            <w:rFonts w:eastAsiaTheme="minorEastAsia"/>
            <w:noProof/>
            <w:sz w:val="24"/>
            <w:szCs w:val="24"/>
            <w:lang w:val="en-US"/>
          </w:rPr>
          <w:tab/>
        </w:r>
        <w:r w:rsidR="00D97BBD">
          <w:rPr>
            <w:rStyle w:val="af4"/>
            <w:noProof/>
            <w:sz w:val="24"/>
            <w:szCs w:val="24"/>
          </w:rPr>
          <w:t>Capital</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_Toc381199344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D97BBD">
          <w:rPr>
            <w:noProof/>
            <w:webHidden/>
            <w:sz w:val="24"/>
            <w:szCs w:val="24"/>
          </w:rPr>
          <w:t>1</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45" w:history="1">
        <w:r w:rsidR="00867177" w:rsidRPr="0077365D">
          <w:rPr>
            <w:rStyle w:val="af4"/>
            <w:noProof/>
            <w:sz w:val="24"/>
            <w:szCs w:val="24"/>
          </w:rPr>
          <w:t>3.16.</w:t>
        </w:r>
        <w:r w:rsidR="00867177" w:rsidRPr="0077365D">
          <w:rPr>
            <w:rFonts w:eastAsiaTheme="minorEastAsia"/>
            <w:noProof/>
            <w:sz w:val="24"/>
            <w:szCs w:val="24"/>
            <w:lang w:val="en-US"/>
          </w:rPr>
          <w:tab/>
        </w:r>
        <w:r w:rsidR="00D97BBD" w:rsidRPr="00C7685B">
          <w:t>Cash flow statement</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_Toc381199345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D97BBD">
          <w:rPr>
            <w:noProof/>
            <w:webHidden/>
            <w:sz w:val="24"/>
            <w:szCs w:val="24"/>
          </w:rPr>
          <w:t>1</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46" w:history="1">
        <w:r w:rsidR="00867177" w:rsidRPr="0077365D">
          <w:rPr>
            <w:rStyle w:val="af4"/>
            <w:noProof/>
            <w:sz w:val="24"/>
            <w:szCs w:val="24"/>
          </w:rPr>
          <w:t>3.17.</w:t>
        </w:r>
        <w:r w:rsidR="00867177" w:rsidRPr="0077365D">
          <w:rPr>
            <w:rFonts w:eastAsiaTheme="minorEastAsia"/>
            <w:noProof/>
            <w:sz w:val="24"/>
            <w:szCs w:val="24"/>
            <w:lang w:val="en-US"/>
          </w:rPr>
          <w:tab/>
        </w:r>
        <w:r w:rsidR="00D97BBD" w:rsidRPr="00B3740D">
          <w:rPr>
            <w:lang w:val="en-US"/>
          </w:rPr>
          <w:t>Profit/loss of previous years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_Toc381199346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D97BBD">
          <w:rPr>
            <w:noProof/>
            <w:webHidden/>
            <w:sz w:val="24"/>
            <w:szCs w:val="24"/>
          </w:rPr>
          <w:t>1</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52" w:history="1">
        <w:r w:rsidR="00867177" w:rsidRPr="0077365D">
          <w:rPr>
            <w:rStyle w:val="af4"/>
            <w:noProof/>
            <w:sz w:val="24"/>
            <w:szCs w:val="24"/>
          </w:rPr>
          <w:t>3.18.</w:t>
        </w:r>
        <w:r w:rsidR="00867177" w:rsidRPr="0077365D">
          <w:rPr>
            <w:rFonts w:eastAsiaTheme="minorEastAsia"/>
            <w:noProof/>
            <w:sz w:val="24"/>
            <w:szCs w:val="24"/>
            <w:lang w:val="en-US"/>
          </w:rPr>
          <w:tab/>
        </w:r>
        <w:r w:rsidR="00D97BBD" w:rsidRPr="000D113D">
          <w:t>Other information</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_Toc381199352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D97BBD">
          <w:rPr>
            <w:noProof/>
            <w:webHidden/>
            <w:sz w:val="24"/>
            <w:szCs w:val="24"/>
          </w:rPr>
          <w:t>2</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53" w:history="1">
        <w:r w:rsidR="00867177" w:rsidRPr="0077365D">
          <w:rPr>
            <w:rStyle w:val="af4"/>
            <w:noProof/>
            <w:sz w:val="24"/>
            <w:szCs w:val="24"/>
          </w:rPr>
          <w:t>3.19.</w:t>
        </w:r>
        <w:r w:rsidR="00867177" w:rsidRPr="0077365D">
          <w:rPr>
            <w:rFonts w:eastAsiaTheme="minorEastAsia"/>
            <w:noProof/>
            <w:sz w:val="24"/>
            <w:szCs w:val="24"/>
            <w:lang w:val="en-US"/>
          </w:rPr>
          <w:tab/>
        </w:r>
        <w:r w:rsidR="00310185" w:rsidRPr="004B0EB0">
          <w:rPr>
            <w:lang w:val="en-US"/>
          </w:rPr>
          <w:t>Policy concerning borrowed funds, managements of risks</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_Toc381199353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310185">
          <w:rPr>
            <w:noProof/>
            <w:webHidden/>
            <w:sz w:val="24"/>
            <w:szCs w:val="24"/>
          </w:rPr>
          <w:t>3</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54" w:history="1">
        <w:r w:rsidR="00867177" w:rsidRPr="0077365D">
          <w:rPr>
            <w:rStyle w:val="af4"/>
            <w:noProof/>
            <w:sz w:val="24"/>
            <w:szCs w:val="24"/>
          </w:rPr>
          <w:t>3.20.</w:t>
        </w:r>
        <w:r w:rsidR="00867177" w:rsidRPr="0077365D">
          <w:rPr>
            <w:rFonts w:eastAsiaTheme="minorEastAsia"/>
            <w:noProof/>
            <w:sz w:val="24"/>
            <w:szCs w:val="24"/>
            <w:lang w:val="en-US"/>
          </w:rPr>
          <w:tab/>
        </w:r>
        <w:r w:rsidR="00310185" w:rsidRPr="004B0EB0">
          <w:rPr>
            <w:lang w:val="en-US"/>
          </w:rPr>
          <w:t xml:space="preserve">Information disclosure according to Federal law #261 from 23.11.09 «About energy </w:t>
        </w:r>
        <w:r w:rsidR="00310185">
          <w:rPr>
            <w:lang w:val="en-US"/>
          </w:rPr>
          <w:t>conservation</w:t>
        </w:r>
        <w:r w:rsidR="00310185" w:rsidRPr="004B0EB0">
          <w:rPr>
            <w:lang w:val="en-US"/>
          </w:rPr>
          <w:t xml:space="preserve"> and increase of energy efficiency and modification of some legislative acts of the Russian Federation</w:t>
        </w:r>
        <w:r w:rsidR="00867177" w:rsidRPr="0077365D">
          <w:rPr>
            <w:rStyle w:val="af4"/>
            <w:noProof/>
            <w:sz w:val="24"/>
            <w:szCs w:val="24"/>
          </w:rPr>
          <w:t>»</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_Toc381199354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310185">
          <w:rPr>
            <w:noProof/>
            <w:webHidden/>
            <w:sz w:val="24"/>
            <w:szCs w:val="24"/>
          </w:rPr>
          <w:t>6</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55" w:history="1">
        <w:r w:rsidR="00867177" w:rsidRPr="0077365D">
          <w:rPr>
            <w:rStyle w:val="af4"/>
            <w:noProof/>
            <w:sz w:val="24"/>
            <w:szCs w:val="24"/>
          </w:rPr>
          <w:t>3.21.</w:t>
        </w:r>
        <w:r w:rsidR="00867177" w:rsidRPr="0077365D">
          <w:rPr>
            <w:rFonts w:eastAsiaTheme="minorEastAsia"/>
            <w:noProof/>
            <w:sz w:val="24"/>
            <w:szCs w:val="24"/>
            <w:lang w:val="en-US"/>
          </w:rPr>
          <w:tab/>
        </w:r>
        <w:r w:rsidR="00310185" w:rsidRPr="00631A8B">
          <w:rPr>
            <w:lang w:val="en-US"/>
          </w:rPr>
          <w:t>Information disclosure on the environmental activities of the Company</w:t>
        </w:r>
        <w:r w:rsidR="00867177" w:rsidRPr="0077365D">
          <w:rPr>
            <w:noProof/>
            <w:webHidden/>
            <w:sz w:val="24"/>
            <w:szCs w:val="24"/>
          </w:rPr>
          <w:tab/>
        </w:r>
        <w:r w:rsidRPr="0077365D">
          <w:rPr>
            <w:noProof/>
            <w:webHidden/>
            <w:sz w:val="24"/>
            <w:szCs w:val="24"/>
          </w:rPr>
          <w:fldChar w:fldCharType="begin"/>
        </w:r>
        <w:r w:rsidR="00867177" w:rsidRPr="0077365D">
          <w:rPr>
            <w:noProof/>
            <w:webHidden/>
            <w:sz w:val="24"/>
            <w:szCs w:val="24"/>
          </w:rPr>
          <w:instrText xml:space="preserve"> PAGEREF _Toc381199355 \h </w:instrText>
        </w:r>
        <w:r w:rsidRPr="0077365D">
          <w:rPr>
            <w:noProof/>
            <w:webHidden/>
            <w:sz w:val="24"/>
            <w:szCs w:val="24"/>
          </w:rPr>
        </w:r>
        <w:r w:rsidRPr="0077365D">
          <w:rPr>
            <w:noProof/>
            <w:webHidden/>
            <w:sz w:val="24"/>
            <w:szCs w:val="24"/>
          </w:rPr>
          <w:fldChar w:fldCharType="separate"/>
        </w:r>
        <w:r w:rsidR="00E31200">
          <w:rPr>
            <w:noProof/>
            <w:webHidden/>
            <w:sz w:val="24"/>
            <w:szCs w:val="24"/>
          </w:rPr>
          <w:t>2</w:t>
        </w:r>
        <w:r w:rsidR="00310185">
          <w:rPr>
            <w:noProof/>
            <w:webHidden/>
            <w:sz w:val="24"/>
            <w:szCs w:val="24"/>
          </w:rPr>
          <w:t>6</w:t>
        </w:r>
        <w:r w:rsidRPr="0077365D">
          <w:rPr>
            <w:noProof/>
            <w:webHidden/>
            <w:sz w:val="24"/>
            <w:szCs w:val="24"/>
          </w:rPr>
          <w:fldChar w:fldCharType="end"/>
        </w:r>
      </w:hyperlink>
    </w:p>
    <w:p w:rsidR="00867177" w:rsidRPr="0077365D" w:rsidRDefault="0031631D">
      <w:pPr>
        <w:pStyle w:val="26"/>
        <w:rPr>
          <w:rFonts w:eastAsiaTheme="minorEastAsia"/>
          <w:noProof/>
          <w:sz w:val="24"/>
          <w:szCs w:val="24"/>
          <w:lang w:val="en-US"/>
        </w:rPr>
      </w:pPr>
      <w:hyperlink w:anchor="_Toc381199356" w:history="1">
        <w:r w:rsidR="00867177" w:rsidRPr="0077365D">
          <w:rPr>
            <w:rStyle w:val="af4"/>
            <w:noProof/>
            <w:sz w:val="24"/>
            <w:szCs w:val="24"/>
          </w:rPr>
          <w:t>3.22.</w:t>
        </w:r>
        <w:r w:rsidR="00867177" w:rsidRPr="0077365D">
          <w:rPr>
            <w:rFonts w:eastAsiaTheme="minorEastAsia"/>
            <w:noProof/>
            <w:sz w:val="24"/>
            <w:szCs w:val="24"/>
            <w:lang w:val="en-US"/>
          </w:rPr>
          <w:tab/>
        </w:r>
        <w:r w:rsidR="002C516A" w:rsidRPr="00FA77F6">
          <w:rPr>
            <w:lang w:val="en-US"/>
          </w:rPr>
          <w:t>Events after the reporting date</w:t>
        </w:r>
        <w:r w:rsidR="00867177" w:rsidRPr="0077365D">
          <w:rPr>
            <w:noProof/>
            <w:webHidden/>
            <w:sz w:val="24"/>
            <w:szCs w:val="24"/>
          </w:rPr>
          <w:tab/>
        </w:r>
        <w:r w:rsidR="002C516A">
          <w:rPr>
            <w:noProof/>
            <w:webHidden/>
            <w:sz w:val="24"/>
            <w:szCs w:val="24"/>
          </w:rPr>
          <w:t>27</w:t>
        </w:r>
      </w:hyperlink>
    </w:p>
    <w:p w:rsidR="002A723C" w:rsidRPr="00836721" w:rsidRDefault="0031631D" w:rsidP="00232461">
      <w:pPr>
        <w:pStyle w:val="a0"/>
        <w:spacing w:line="276" w:lineRule="auto"/>
        <w:ind w:firstLine="709"/>
        <w:rPr>
          <w:sz w:val="22"/>
          <w:szCs w:val="22"/>
        </w:rPr>
      </w:pPr>
      <w:r w:rsidRPr="0077365D">
        <w:rPr>
          <w:szCs w:val="24"/>
        </w:rPr>
        <w:fldChar w:fldCharType="end"/>
      </w:r>
      <w:r w:rsidR="00232461">
        <w:rPr>
          <w:sz w:val="22"/>
          <w:szCs w:val="22"/>
        </w:rPr>
        <w:t xml:space="preserve"> </w:t>
      </w:r>
    </w:p>
    <w:p w:rsidR="00466CC7" w:rsidRPr="00836721" w:rsidRDefault="00466CC7" w:rsidP="00466CC7">
      <w:pPr>
        <w:spacing w:line="480" w:lineRule="auto"/>
        <w:ind w:firstLine="709"/>
        <w:jc w:val="both"/>
        <w:rPr>
          <w:sz w:val="28"/>
          <w:szCs w:val="28"/>
          <w:lang w:val="ru-RU"/>
        </w:rPr>
      </w:pPr>
    </w:p>
    <w:p w:rsidR="00232461" w:rsidRDefault="00232461">
      <w:pPr>
        <w:spacing w:after="200" w:line="276" w:lineRule="auto"/>
        <w:rPr>
          <w:rFonts w:ascii="13" w:hAnsi="13"/>
          <w:i/>
          <w:sz w:val="26"/>
          <w:szCs w:val="26"/>
          <w:lang w:val="ru-RU"/>
        </w:rPr>
      </w:pPr>
      <w:r>
        <w:rPr>
          <w:rFonts w:ascii="13" w:hAnsi="13"/>
          <w:i/>
          <w:sz w:val="26"/>
          <w:szCs w:val="26"/>
          <w:lang w:val="ru-RU"/>
        </w:rPr>
        <w:br w:type="page"/>
      </w:r>
    </w:p>
    <w:p w:rsidR="00226A22" w:rsidRPr="00CA2FA4" w:rsidRDefault="00CA2FA4" w:rsidP="00E37AB5">
      <w:pPr>
        <w:pStyle w:val="2"/>
        <w:numPr>
          <w:ilvl w:val="0"/>
          <w:numId w:val="5"/>
        </w:numPr>
        <w:rPr>
          <w:szCs w:val="24"/>
          <w:lang w:val="en-US"/>
        </w:rPr>
      </w:pPr>
      <w:r w:rsidRPr="00CA2FA4">
        <w:rPr>
          <w:szCs w:val="24"/>
          <w:lang w:val="en-US"/>
        </w:rPr>
        <w:lastRenderedPageBreak/>
        <w:t>General information on the Company</w:t>
      </w:r>
    </w:p>
    <w:p w:rsidR="00226A22" w:rsidRPr="00CA2FA4" w:rsidRDefault="00226A22" w:rsidP="00AE1AB5">
      <w:pPr>
        <w:rPr>
          <w:rStyle w:val="apple-style-span"/>
          <w:lang w:val="en-U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2789"/>
        <w:gridCol w:w="4950"/>
      </w:tblGrid>
      <w:tr w:rsidR="00CA2FA4" w:rsidRPr="00836721" w:rsidTr="00F77D4E">
        <w:trPr>
          <w:trHeight w:val="1471"/>
        </w:trPr>
        <w:tc>
          <w:tcPr>
            <w:tcW w:w="1729" w:type="dxa"/>
            <w:vAlign w:val="center"/>
          </w:tcPr>
          <w:p w:rsidR="00CA2FA4" w:rsidRPr="00836721" w:rsidRDefault="00CA2FA4" w:rsidP="000B1621">
            <w:pPr>
              <w:pStyle w:val="ab"/>
              <w:ind w:left="0"/>
              <w:jc w:val="center"/>
              <w:rPr>
                <w:rStyle w:val="apple-style-span"/>
                <w:lang w:val="ru-RU"/>
              </w:rPr>
            </w:pPr>
            <w:r w:rsidRPr="00836721">
              <w:rPr>
                <w:rStyle w:val="apple-style-span"/>
                <w:lang w:val="ru-RU"/>
              </w:rPr>
              <w:t>1.1.</w:t>
            </w:r>
          </w:p>
        </w:tc>
        <w:tc>
          <w:tcPr>
            <w:tcW w:w="2789" w:type="dxa"/>
            <w:shd w:val="clear" w:color="auto" w:fill="auto"/>
            <w:noWrap/>
            <w:vAlign w:val="center"/>
          </w:tcPr>
          <w:p w:rsidR="00CA2FA4" w:rsidRPr="00E1465C" w:rsidRDefault="00CA2FA4" w:rsidP="007C4502">
            <w:pPr>
              <w:jc w:val="center"/>
              <w:rPr>
                <w:rStyle w:val="apple-style-span"/>
              </w:rPr>
            </w:pPr>
            <w:r w:rsidRPr="00E1465C">
              <w:rPr>
                <w:rStyle w:val="apple-style-span"/>
              </w:rPr>
              <w:t>Full name</w:t>
            </w:r>
          </w:p>
        </w:tc>
        <w:tc>
          <w:tcPr>
            <w:tcW w:w="4950" w:type="dxa"/>
            <w:shd w:val="clear" w:color="auto" w:fill="auto"/>
            <w:vAlign w:val="center"/>
          </w:tcPr>
          <w:p w:rsidR="00CA2FA4" w:rsidRPr="00CC4049" w:rsidRDefault="00CA2FA4" w:rsidP="007C4502">
            <w:pPr>
              <w:jc w:val="center"/>
              <w:rPr>
                <w:rStyle w:val="apple-style-span"/>
                <w:lang w:val="en-US"/>
              </w:rPr>
            </w:pPr>
            <w:r w:rsidRPr="00CC4049">
              <w:rPr>
                <w:rStyle w:val="apple-style-span"/>
                <w:lang w:val="en-US"/>
              </w:rPr>
              <w:t>Interregional Distribution Grid Company of Centre, Joint-Stock Company;</w:t>
            </w:r>
          </w:p>
          <w:p w:rsidR="00CA2FA4" w:rsidRPr="00E1465C" w:rsidRDefault="00CA2FA4" w:rsidP="007C4502">
            <w:pPr>
              <w:jc w:val="center"/>
              <w:rPr>
                <w:rStyle w:val="apple-style-span"/>
              </w:rPr>
            </w:pPr>
            <w:r w:rsidRPr="00E1465C">
              <w:rPr>
                <w:rStyle w:val="apple-style-span"/>
              </w:rPr>
              <w:t>TIN/CRR 6901067107/997450001</w:t>
            </w:r>
          </w:p>
        </w:tc>
      </w:tr>
      <w:tr w:rsidR="00CA2FA4" w:rsidRPr="00836721" w:rsidTr="00F77D4E">
        <w:trPr>
          <w:trHeight w:val="287"/>
        </w:trPr>
        <w:tc>
          <w:tcPr>
            <w:tcW w:w="1729" w:type="dxa"/>
            <w:vAlign w:val="center"/>
          </w:tcPr>
          <w:p w:rsidR="00CA2FA4" w:rsidRPr="00836721" w:rsidRDefault="00CA2FA4" w:rsidP="000B1621">
            <w:pPr>
              <w:pStyle w:val="ab"/>
              <w:spacing w:before="240" w:after="240"/>
              <w:ind w:left="0"/>
              <w:jc w:val="center"/>
              <w:rPr>
                <w:rStyle w:val="apple-style-span"/>
                <w:lang w:val="ru-RU"/>
              </w:rPr>
            </w:pPr>
            <w:r w:rsidRPr="00836721">
              <w:rPr>
                <w:rStyle w:val="apple-style-span"/>
                <w:lang w:val="ru-RU"/>
              </w:rPr>
              <w:t>1.2.</w:t>
            </w:r>
          </w:p>
        </w:tc>
        <w:tc>
          <w:tcPr>
            <w:tcW w:w="2789" w:type="dxa"/>
            <w:shd w:val="clear" w:color="auto" w:fill="auto"/>
            <w:noWrap/>
            <w:vAlign w:val="center"/>
          </w:tcPr>
          <w:p w:rsidR="00CA2FA4" w:rsidRPr="00CC4049" w:rsidRDefault="00CA2FA4" w:rsidP="007C4502">
            <w:pPr>
              <w:jc w:val="center"/>
              <w:rPr>
                <w:rStyle w:val="apple-style-span"/>
              </w:rPr>
            </w:pPr>
            <w:r w:rsidRPr="00CC4049">
              <w:rPr>
                <w:rStyle w:val="apple-style-span"/>
              </w:rPr>
              <w:t>Short name</w:t>
            </w:r>
          </w:p>
        </w:tc>
        <w:tc>
          <w:tcPr>
            <w:tcW w:w="4950" w:type="dxa"/>
            <w:shd w:val="clear" w:color="auto" w:fill="auto"/>
            <w:vAlign w:val="center"/>
          </w:tcPr>
          <w:p w:rsidR="00CA2FA4" w:rsidRPr="00CC4049" w:rsidRDefault="00CA2FA4" w:rsidP="007C4502">
            <w:pPr>
              <w:jc w:val="center"/>
              <w:rPr>
                <w:rStyle w:val="apple-style-span"/>
              </w:rPr>
            </w:pPr>
            <w:r w:rsidRPr="00CC4049">
              <w:rPr>
                <w:rStyle w:val="apple-style-span"/>
              </w:rPr>
              <w:t>IDGC of Centre, JSC</w:t>
            </w:r>
          </w:p>
        </w:tc>
      </w:tr>
      <w:tr w:rsidR="00CA2FA4" w:rsidRPr="00836721" w:rsidTr="00F77D4E">
        <w:trPr>
          <w:trHeight w:val="666"/>
        </w:trPr>
        <w:tc>
          <w:tcPr>
            <w:tcW w:w="1729" w:type="dxa"/>
            <w:vAlign w:val="center"/>
          </w:tcPr>
          <w:p w:rsidR="00CA2FA4" w:rsidRPr="00836721" w:rsidRDefault="00CA2FA4" w:rsidP="000B1621">
            <w:pPr>
              <w:pStyle w:val="ab"/>
              <w:ind w:left="0"/>
              <w:jc w:val="center"/>
              <w:rPr>
                <w:rStyle w:val="apple-style-span"/>
                <w:lang w:val="ru-RU"/>
              </w:rPr>
            </w:pPr>
            <w:r w:rsidRPr="00836721">
              <w:rPr>
                <w:rStyle w:val="apple-style-span"/>
                <w:lang w:val="ru-RU"/>
              </w:rPr>
              <w:t>1.3.</w:t>
            </w:r>
          </w:p>
        </w:tc>
        <w:tc>
          <w:tcPr>
            <w:tcW w:w="2789" w:type="dxa"/>
            <w:shd w:val="clear" w:color="auto" w:fill="auto"/>
            <w:noWrap/>
            <w:vAlign w:val="center"/>
          </w:tcPr>
          <w:p w:rsidR="00CA2FA4" w:rsidRPr="00CC4049" w:rsidRDefault="00CA2FA4" w:rsidP="007C4502">
            <w:pPr>
              <w:pStyle w:val="ab"/>
              <w:ind w:left="-28" w:firstLine="28"/>
              <w:jc w:val="center"/>
              <w:rPr>
                <w:rStyle w:val="apple-style-span"/>
              </w:rPr>
            </w:pPr>
            <w:r w:rsidRPr="00CC4049">
              <w:rPr>
                <w:rStyle w:val="apple-style-span"/>
              </w:rPr>
              <w:t>State registration (PSRN, date)</w:t>
            </w:r>
          </w:p>
        </w:tc>
        <w:tc>
          <w:tcPr>
            <w:tcW w:w="4950" w:type="dxa"/>
            <w:shd w:val="clear" w:color="auto" w:fill="auto"/>
            <w:vAlign w:val="center"/>
          </w:tcPr>
          <w:p w:rsidR="00CA2FA4" w:rsidRPr="00CC4049" w:rsidRDefault="00CA2FA4" w:rsidP="007C4502">
            <w:pPr>
              <w:jc w:val="center"/>
              <w:rPr>
                <w:rStyle w:val="apple-style-span"/>
              </w:rPr>
            </w:pPr>
            <w:r w:rsidRPr="00CC4049">
              <w:rPr>
                <w:rStyle w:val="apple-style-span"/>
              </w:rPr>
              <w:t>1046900099498</w:t>
            </w:r>
          </w:p>
          <w:p w:rsidR="00CA2FA4" w:rsidRPr="00CC4049" w:rsidRDefault="00CA2FA4" w:rsidP="007C4502">
            <w:pPr>
              <w:jc w:val="center"/>
              <w:rPr>
                <w:rStyle w:val="apple-style-span"/>
              </w:rPr>
            </w:pPr>
            <w:r w:rsidRPr="00CC4049">
              <w:rPr>
                <w:rStyle w:val="apple-style-span"/>
              </w:rPr>
              <w:t xml:space="preserve"> dated from 17.12.2004</w:t>
            </w:r>
          </w:p>
        </w:tc>
      </w:tr>
      <w:tr w:rsidR="00CA2FA4" w:rsidRPr="00FF15EC" w:rsidTr="00F77D4E">
        <w:trPr>
          <w:trHeight w:val="300"/>
        </w:trPr>
        <w:tc>
          <w:tcPr>
            <w:tcW w:w="1729" w:type="dxa"/>
            <w:vAlign w:val="center"/>
          </w:tcPr>
          <w:p w:rsidR="00CA2FA4" w:rsidRPr="00836721" w:rsidRDefault="00CA2FA4" w:rsidP="000B1621">
            <w:pPr>
              <w:jc w:val="center"/>
              <w:rPr>
                <w:rStyle w:val="apple-style-span"/>
                <w:lang w:val="ru-RU"/>
              </w:rPr>
            </w:pPr>
            <w:r w:rsidRPr="00836721">
              <w:rPr>
                <w:rStyle w:val="apple-style-span"/>
                <w:lang w:val="ru-RU"/>
              </w:rPr>
              <w:t>1.4.</w:t>
            </w:r>
          </w:p>
        </w:tc>
        <w:tc>
          <w:tcPr>
            <w:tcW w:w="2789" w:type="dxa"/>
            <w:shd w:val="clear" w:color="auto" w:fill="auto"/>
            <w:noWrap/>
            <w:vAlign w:val="center"/>
          </w:tcPr>
          <w:p w:rsidR="00CA2FA4" w:rsidRPr="00F36497" w:rsidRDefault="00CA2FA4" w:rsidP="007C4502">
            <w:pPr>
              <w:jc w:val="center"/>
              <w:rPr>
                <w:rStyle w:val="apple-style-span"/>
                <w:lang w:val="en-US"/>
              </w:rPr>
            </w:pPr>
            <w:r w:rsidRPr="00F36497">
              <w:rPr>
                <w:rStyle w:val="apple-style-span"/>
                <w:lang w:val="en-US"/>
              </w:rPr>
              <w:t>Principal place of business (legal address)</w:t>
            </w:r>
          </w:p>
        </w:tc>
        <w:tc>
          <w:tcPr>
            <w:tcW w:w="4950" w:type="dxa"/>
            <w:shd w:val="clear" w:color="auto" w:fill="auto"/>
            <w:vAlign w:val="center"/>
          </w:tcPr>
          <w:p w:rsidR="00CA2FA4" w:rsidRPr="00CC4049" w:rsidRDefault="00CA2FA4" w:rsidP="007C4502">
            <w:pPr>
              <w:jc w:val="center"/>
              <w:rPr>
                <w:rStyle w:val="apple-style-span"/>
              </w:rPr>
            </w:pPr>
            <w:r w:rsidRPr="00CC4049">
              <w:rPr>
                <w:rStyle w:val="apple-style-span"/>
              </w:rPr>
              <w:t xml:space="preserve">2nd </w:t>
            </w:r>
            <w:proofErr w:type="spellStart"/>
            <w:r w:rsidRPr="00CC4049">
              <w:rPr>
                <w:rStyle w:val="apple-style-span"/>
              </w:rPr>
              <w:t>Yamskaya</w:t>
            </w:r>
            <w:proofErr w:type="spellEnd"/>
            <w:r w:rsidRPr="00CC4049">
              <w:rPr>
                <w:rStyle w:val="apple-style-span"/>
              </w:rPr>
              <w:t>, 4,</w:t>
            </w:r>
          </w:p>
          <w:p w:rsidR="00CA2FA4" w:rsidRPr="00CC4049" w:rsidRDefault="00CA2FA4" w:rsidP="007C4502">
            <w:pPr>
              <w:jc w:val="center"/>
              <w:rPr>
                <w:rStyle w:val="apple-style-span"/>
              </w:rPr>
            </w:pPr>
            <w:r w:rsidRPr="00CC4049">
              <w:rPr>
                <w:rStyle w:val="apple-style-span"/>
              </w:rPr>
              <w:t>Moscow, 127018</w:t>
            </w:r>
          </w:p>
        </w:tc>
      </w:tr>
      <w:tr w:rsidR="00CA2FA4" w:rsidRPr="00FF15EC" w:rsidTr="00F77D4E">
        <w:trPr>
          <w:trHeight w:val="615"/>
        </w:trPr>
        <w:tc>
          <w:tcPr>
            <w:tcW w:w="1729" w:type="dxa"/>
            <w:vAlign w:val="center"/>
          </w:tcPr>
          <w:p w:rsidR="00CA2FA4" w:rsidRPr="00836721" w:rsidRDefault="00CA2FA4" w:rsidP="000B1621">
            <w:pPr>
              <w:jc w:val="center"/>
              <w:rPr>
                <w:rStyle w:val="apple-style-span"/>
                <w:lang w:val="ru-RU"/>
              </w:rPr>
            </w:pPr>
            <w:r w:rsidRPr="00836721">
              <w:rPr>
                <w:rStyle w:val="apple-style-span"/>
                <w:lang w:val="ru-RU"/>
              </w:rPr>
              <w:t>1.5.</w:t>
            </w:r>
          </w:p>
        </w:tc>
        <w:tc>
          <w:tcPr>
            <w:tcW w:w="2789" w:type="dxa"/>
            <w:shd w:val="clear" w:color="auto" w:fill="auto"/>
            <w:noWrap/>
            <w:vAlign w:val="center"/>
          </w:tcPr>
          <w:p w:rsidR="00CA2FA4" w:rsidRPr="00CC4049" w:rsidRDefault="00CA2FA4" w:rsidP="007C4502">
            <w:pPr>
              <w:jc w:val="center"/>
              <w:rPr>
                <w:rStyle w:val="apple-style-span"/>
              </w:rPr>
            </w:pPr>
            <w:r w:rsidRPr="00CC4049">
              <w:rPr>
                <w:rStyle w:val="apple-style-span"/>
              </w:rPr>
              <w:t>Postal address:</w:t>
            </w:r>
          </w:p>
        </w:tc>
        <w:tc>
          <w:tcPr>
            <w:tcW w:w="4950" w:type="dxa"/>
            <w:shd w:val="clear" w:color="auto" w:fill="auto"/>
            <w:vAlign w:val="center"/>
          </w:tcPr>
          <w:p w:rsidR="00CA2FA4" w:rsidRPr="00CC4049" w:rsidRDefault="00CA2FA4" w:rsidP="007C4502">
            <w:pPr>
              <w:ind w:hanging="26"/>
              <w:jc w:val="center"/>
              <w:rPr>
                <w:rStyle w:val="apple-style-span"/>
              </w:rPr>
            </w:pPr>
            <w:r w:rsidRPr="00CC4049">
              <w:rPr>
                <w:rStyle w:val="apple-style-span"/>
              </w:rPr>
              <w:t xml:space="preserve">2nd </w:t>
            </w:r>
            <w:proofErr w:type="spellStart"/>
            <w:r w:rsidRPr="00CC4049">
              <w:rPr>
                <w:rStyle w:val="apple-style-span"/>
              </w:rPr>
              <w:t>Yamskaya</w:t>
            </w:r>
            <w:proofErr w:type="spellEnd"/>
            <w:r w:rsidRPr="00CC4049">
              <w:rPr>
                <w:rStyle w:val="apple-style-span"/>
              </w:rPr>
              <w:t>, 4,</w:t>
            </w:r>
          </w:p>
          <w:p w:rsidR="00CA2FA4" w:rsidRPr="00CC4049" w:rsidRDefault="00CA2FA4" w:rsidP="007C4502">
            <w:pPr>
              <w:ind w:hanging="26"/>
              <w:jc w:val="center"/>
              <w:rPr>
                <w:rStyle w:val="apple-style-span"/>
              </w:rPr>
            </w:pPr>
            <w:r w:rsidRPr="00CC4049">
              <w:rPr>
                <w:rStyle w:val="apple-style-span"/>
              </w:rPr>
              <w:t>Moscow, 127018</w:t>
            </w:r>
          </w:p>
        </w:tc>
      </w:tr>
      <w:tr w:rsidR="00CA2FA4" w:rsidRPr="00CA2FA4" w:rsidTr="00F77D4E">
        <w:trPr>
          <w:trHeight w:val="300"/>
        </w:trPr>
        <w:tc>
          <w:tcPr>
            <w:tcW w:w="1729" w:type="dxa"/>
            <w:vAlign w:val="center"/>
          </w:tcPr>
          <w:p w:rsidR="00CA2FA4" w:rsidRPr="00836721" w:rsidRDefault="00CA2FA4" w:rsidP="000B1621">
            <w:pPr>
              <w:pStyle w:val="ab"/>
              <w:ind w:left="0"/>
              <w:jc w:val="center"/>
              <w:rPr>
                <w:rStyle w:val="apple-style-span"/>
                <w:lang w:val="ru-RU"/>
              </w:rPr>
            </w:pPr>
            <w:r w:rsidRPr="00836721">
              <w:rPr>
                <w:rStyle w:val="apple-style-span"/>
                <w:lang w:val="ru-RU"/>
              </w:rPr>
              <w:t>1.6.</w:t>
            </w:r>
          </w:p>
        </w:tc>
        <w:tc>
          <w:tcPr>
            <w:tcW w:w="2789" w:type="dxa"/>
            <w:shd w:val="clear" w:color="auto" w:fill="auto"/>
            <w:noWrap/>
            <w:vAlign w:val="center"/>
          </w:tcPr>
          <w:p w:rsidR="00CA2FA4" w:rsidRPr="00F36497" w:rsidRDefault="00CA2FA4" w:rsidP="007C4502">
            <w:pPr>
              <w:pStyle w:val="ab"/>
              <w:ind w:left="0"/>
              <w:jc w:val="center"/>
              <w:rPr>
                <w:rStyle w:val="apple-style-span"/>
                <w:lang w:val="en-US"/>
              </w:rPr>
            </w:pPr>
            <w:r w:rsidRPr="00F36497">
              <w:rPr>
                <w:rStyle w:val="apple-style-span"/>
                <w:lang w:val="en-US"/>
              </w:rPr>
              <w:t xml:space="preserve">Information on the </w:t>
            </w:r>
            <w:proofErr w:type="spellStart"/>
            <w:r w:rsidRPr="00F36497">
              <w:rPr>
                <w:rStyle w:val="apple-style-span"/>
                <w:lang w:val="en-US"/>
              </w:rPr>
              <w:t>authorised</w:t>
            </w:r>
            <w:proofErr w:type="spellEnd"/>
            <w:r w:rsidRPr="00F36497">
              <w:rPr>
                <w:rStyle w:val="apple-style-span"/>
                <w:lang w:val="en-US"/>
              </w:rPr>
              <w:t xml:space="preserve"> capital</w:t>
            </w:r>
          </w:p>
        </w:tc>
        <w:tc>
          <w:tcPr>
            <w:tcW w:w="4950" w:type="dxa"/>
            <w:shd w:val="clear" w:color="auto" w:fill="auto"/>
            <w:vAlign w:val="center"/>
          </w:tcPr>
          <w:p w:rsidR="00CA2FA4" w:rsidRPr="00F36497" w:rsidRDefault="00CA2FA4" w:rsidP="007C4502">
            <w:pPr>
              <w:jc w:val="center"/>
              <w:rPr>
                <w:rStyle w:val="apple-style-span"/>
                <w:lang w:val="en-US"/>
              </w:rPr>
            </w:pPr>
            <w:r w:rsidRPr="00F36497">
              <w:rPr>
                <w:rStyle w:val="apple-style-span"/>
                <w:lang w:val="en-US"/>
              </w:rPr>
              <w:t xml:space="preserve">The </w:t>
            </w:r>
            <w:proofErr w:type="spellStart"/>
            <w:r w:rsidRPr="00F36497">
              <w:rPr>
                <w:rStyle w:val="apple-style-span"/>
                <w:lang w:val="en-US"/>
              </w:rPr>
              <w:t>authorised</w:t>
            </w:r>
            <w:proofErr w:type="spellEnd"/>
            <w:r w:rsidRPr="00F36497">
              <w:rPr>
                <w:rStyle w:val="apple-style-span"/>
                <w:lang w:val="en-US"/>
              </w:rPr>
              <w:t xml:space="preserve"> capital of the Company equals to 4 221 794  thousand rubles</w:t>
            </w:r>
          </w:p>
        </w:tc>
      </w:tr>
      <w:tr w:rsidR="00CA2FA4" w:rsidRPr="00FF15EC" w:rsidTr="00F77D4E">
        <w:trPr>
          <w:trHeight w:val="1358"/>
        </w:trPr>
        <w:tc>
          <w:tcPr>
            <w:tcW w:w="1729" w:type="dxa"/>
            <w:vAlign w:val="center"/>
          </w:tcPr>
          <w:p w:rsidR="00CA2FA4" w:rsidRPr="00836721" w:rsidRDefault="00CA2FA4" w:rsidP="000B1621">
            <w:pPr>
              <w:pStyle w:val="ab"/>
              <w:ind w:left="0"/>
              <w:jc w:val="center"/>
              <w:rPr>
                <w:rStyle w:val="apple-style-span"/>
                <w:lang w:val="ru-RU"/>
              </w:rPr>
            </w:pPr>
            <w:r w:rsidRPr="00836721">
              <w:rPr>
                <w:rStyle w:val="apple-style-span"/>
                <w:lang w:val="ru-RU"/>
              </w:rPr>
              <w:t>1.7.</w:t>
            </w:r>
          </w:p>
        </w:tc>
        <w:tc>
          <w:tcPr>
            <w:tcW w:w="2789" w:type="dxa"/>
            <w:shd w:val="clear" w:color="auto" w:fill="auto"/>
            <w:noWrap/>
            <w:vAlign w:val="center"/>
          </w:tcPr>
          <w:p w:rsidR="00CA2FA4" w:rsidRPr="00836721" w:rsidRDefault="00CA2FA4" w:rsidP="007C4502">
            <w:pPr>
              <w:pStyle w:val="ab"/>
              <w:ind w:left="0"/>
              <w:jc w:val="center"/>
              <w:rPr>
                <w:rStyle w:val="apple-style-span"/>
                <w:lang w:val="ru-RU"/>
              </w:rPr>
            </w:pPr>
            <w:proofErr w:type="spellStart"/>
            <w:r w:rsidRPr="00CC4049">
              <w:rPr>
                <w:rStyle w:val="apple-style-span"/>
                <w:lang w:val="ru-RU"/>
              </w:rPr>
              <w:t>Information</w:t>
            </w:r>
            <w:proofErr w:type="spellEnd"/>
            <w:r w:rsidRPr="00CC4049">
              <w:rPr>
                <w:rStyle w:val="apple-style-span"/>
                <w:lang w:val="ru-RU"/>
              </w:rPr>
              <w:t xml:space="preserve"> </w:t>
            </w:r>
            <w:proofErr w:type="spellStart"/>
            <w:r w:rsidRPr="00CC4049">
              <w:rPr>
                <w:rStyle w:val="apple-style-span"/>
                <w:lang w:val="ru-RU"/>
              </w:rPr>
              <w:t>on</w:t>
            </w:r>
            <w:proofErr w:type="spellEnd"/>
            <w:r w:rsidRPr="00CC4049">
              <w:rPr>
                <w:rStyle w:val="apple-style-span"/>
                <w:lang w:val="ru-RU"/>
              </w:rPr>
              <w:t xml:space="preserve"> </w:t>
            </w:r>
            <w:proofErr w:type="spellStart"/>
            <w:r w:rsidRPr="00CC4049">
              <w:rPr>
                <w:rStyle w:val="apple-style-span"/>
                <w:lang w:val="ru-RU"/>
              </w:rPr>
              <w:t>the</w:t>
            </w:r>
            <w:proofErr w:type="spellEnd"/>
            <w:r w:rsidRPr="00CC4049">
              <w:rPr>
                <w:rStyle w:val="apple-style-span"/>
                <w:lang w:val="ru-RU"/>
              </w:rPr>
              <w:t xml:space="preserve"> </w:t>
            </w:r>
            <w:proofErr w:type="spellStart"/>
            <w:r w:rsidRPr="00CC4049">
              <w:rPr>
                <w:rStyle w:val="apple-style-span"/>
                <w:lang w:val="ru-RU"/>
              </w:rPr>
              <w:t>participants</w:t>
            </w:r>
            <w:proofErr w:type="spellEnd"/>
          </w:p>
        </w:tc>
        <w:tc>
          <w:tcPr>
            <w:tcW w:w="4950" w:type="dxa"/>
            <w:shd w:val="clear" w:color="auto" w:fill="auto"/>
            <w:vAlign w:val="center"/>
          </w:tcPr>
          <w:p w:rsidR="00CA2FA4" w:rsidRPr="00CC4049" w:rsidRDefault="00CA2FA4" w:rsidP="007C4502">
            <w:pPr>
              <w:spacing w:before="120" w:line="276" w:lineRule="auto"/>
              <w:jc w:val="center"/>
              <w:rPr>
                <w:rStyle w:val="apple-style-span"/>
                <w:lang w:val="en-US"/>
              </w:rPr>
            </w:pPr>
            <w:r w:rsidRPr="00CC4049">
              <w:rPr>
                <w:rStyle w:val="apple-style-span"/>
                <w:lang w:val="en-US"/>
              </w:rPr>
              <w:t xml:space="preserve">Total number of persons, recorded in the register of issuer’s shareholders as of </w:t>
            </w:r>
            <w:r>
              <w:rPr>
                <w:rStyle w:val="apple-style-span"/>
                <w:lang w:val="en-US"/>
              </w:rPr>
              <w:t xml:space="preserve">end </w:t>
            </w:r>
            <w:r w:rsidRPr="00CC4049">
              <w:rPr>
                <w:rStyle w:val="apple-style-span"/>
                <w:lang w:val="en-US"/>
              </w:rPr>
              <w:t>date of the last accounting quarter:</w:t>
            </w:r>
            <w:r>
              <w:rPr>
                <w:rStyle w:val="apple-style-span"/>
                <w:b/>
                <w:i/>
                <w:lang w:val="en-US"/>
              </w:rPr>
              <w:t xml:space="preserve"> 141</w:t>
            </w:r>
            <w:r w:rsidRPr="00CC4049">
              <w:rPr>
                <w:rStyle w:val="apple-style-span"/>
                <w:b/>
                <w:i/>
                <w:lang w:val="en-US"/>
              </w:rPr>
              <w:t>9</w:t>
            </w:r>
            <w:r>
              <w:rPr>
                <w:rStyle w:val="apple-style-span"/>
                <w:b/>
                <w:i/>
                <w:lang w:val="en-US"/>
              </w:rPr>
              <w:t>1</w:t>
            </w:r>
          </w:p>
          <w:p w:rsidR="00CA2FA4" w:rsidRPr="00836721" w:rsidRDefault="00CA2FA4" w:rsidP="007C4502">
            <w:pPr>
              <w:spacing w:line="276" w:lineRule="auto"/>
              <w:ind w:firstLine="709"/>
              <w:jc w:val="center"/>
              <w:rPr>
                <w:rStyle w:val="apple-style-span"/>
                <w:lang w:val="ru-RU"/>
              </w:rPr>
            </w:pPr>
            <w:proofErr w:type="spellStart"/>
            <w:r w:rsidRPr="00CC4049">
              <w:rPr>
                <w:rStyle w:val="apple-style-span"/>
                <w:lang w:val="ru-RU"/>
              </w:rPr>
              <w:t>Total</w:t>
            </w:r>
            <w:proofErr w:type="spellEnd"/>
            <w:r w:rsidRPr="00CC4049">
              <w:rPr>
                <w:rStyle w:val="apple-style-span"/>
                <w:lang w:val="ru-RU"/>
              </w:rPr>
              <w:t xml:space="preserve"> </w:t>
            </w:r>
            <w:proofErr w:type="spellStart"/>
            <w:r w:rsidRPr="00CC4049">
              <w:rPr>
                <w:rStyle w:val="apple-style-span"/>
                <w:lang w:val="ru-RU"/>
              </w:rPr>
              <w:t>number</w:t>
            </w:r>
            <w:proofErr w:type="spellEnd"/>
            <w:r w:rsidRPr="00CC4049">
              <w:rPr>
                <w:rStyle w:val="apple-style-span"/>
                <w:lang w:val="ru-RU"/>
              </w:rPr>
              <w:t xml:space="preserve"> </w:t>
            </w:r>
            <w:proofErr w:type="spellStart"/>
            <w:r w:rsidRPr="00CC4049">
              <w:rPr>
                <w:rStyle w:val="apple-style-span"/>
                <w:lang w:val="ru-RU"/>
              </w:rPr>
              <w:t>of</w:t>
            </w:r>
            <w:proofErr w:type="spellEnd"/>
            <w:r w:rsidRPr="00CC4049">
              <w:rPr>
                <w:rStyle w:val="apple-style-span"/>
                <w:lang w:val="ru-RU"/>
              </w:rPr>
              <w:t xml:space="preserve"> </w:t>
            </w:r>
            <w:proofErr w:type="spellStart"/>
            <w:r w:rsidRPr="00CC4049">
              <w:rPr>
                <w:rStyle w:val="apple-style-span"/>
                <w:lang w:val="ru-RU"/>
              </w:rPr>
              <w:t>nominees</w:t>
            </w:r>
            <w:proofErr w:type="spellEnd"/>
            <w:r w:rsidRPr="00836721">
              <w:rPr>
                <w:rStyle w:val="apple-style-span"/>
                <w:lang w:val="ru-RU"/>
              </w:rPr>
              <w:t>:</w:t>
            </w:r>
            <w:r w:rsidRPr="00836721">
              <w:rPr>
                <w:rStyle w:val="apple-style-span"/>
                <w:b/>
                <w:i/>
                <w:lang w:val="ru-RU"/>
              </w:rPr>
              <w:t xml:space="preserve"> 9</w:t>
            </w:r>
          </w:p>
        </w:tc>
      </w:tr>
      <w:tr w:rsidR="00B35A9C" w:rsidRPr="00FF15EC" w:rsidTr="00F77D4E">
        <w:trPr>
          <w:trHeight w:val="693"/>
        </w:trPr>
        <w:tc>
          <w:tcPr>
            <w:tcW w:w="1729" w:type="dxa"/>
            <w:vAlign w:val="center"/>
          </w:tcPr>
          <w:p w:rsidR="000B1621" w:rsidRPr="00AE1AB5" w:rsidRDefault="000B1621" w:rsidP="00AE1AB5">
            <w:pPr>
              <w:pStyle w:val="ab"/>
              <w:ind w:left="0"/>
              <w:jc w:val="center"/>
              <w:rPr>
                <w:rStyle w:val="apple-style-span"/>
                <w:lang w:val="ru-RU"/>
              </w:rPr>
            </w:pPr>
            <w:r w:rsidRPr="00AE1AB5">
              <w:rPr>
                <w:rStyle w:val="apple-style-span"/>
                <w:lang w:val="ru-RU"/>
              </w:rPr>
              <w:t>1.8.</w:t>
            </w:r>
          </w:p>
        </w:tc>
        <w:tc>
          <w:tcPr>
            <w:tcW w:w="2789" w:type="dxa"/>
            <w:shd w:val="clear" w:color="auto" w:fill="auto"/>
            <w:noWrap/>
            <w:vAlign w:val="center"/>
          </w:tcPr>
          <w:p w:rsidR="000B1621" w:rsidRPr="00AE1AB5" w:rsidRDefault="00CA2FA4" w:rsidP="00AE1AB5">
            <w:pPr>
              <w:pStyle w:val="ab"/>
              <w:ind w:left="0"/>
              <w:jc w:val="center"/>
              <w:rPr>
                <w:rStyle w:val="apple-style-span"/>
                <w:lang w:val="ru-RU"/>
              </w:rPr>
            </w:pPr>
            <w:r w:rsidRPr="00CC4049">
              <w:rPr>
                <w:rStyle w:val="apple-style-span"/>
              </w:rPr>
              <w:t>The Company’s auditor</w:t>
            </w:r>
          </w:p>
        </w:tc>
        <w:tc>
          <w:tcPr>
            <w:tcW w:w="4950" w:type="dxa"/>
            <w:shd w:val="clear" w:color="auto" w:fill="auto"/>
            <w:vAlign w:val="center"/>
          </w:tcPr>
          <w:p w:rsidR="000B1621" w:rsidRPr="00D81681" w:rsidRDefault="00B06229" w:rsidP="00554A7C">
            <w:pPr>
              <w:spacing w:before="120" w:line="276" w:lineRule="auto"/>
              <w:jc w:val="center"/>
              <w:rPr>
                <w:rStyle w:val="apple-style-span"/>
                <w:lang w:val="ru-RU"/>
              </w:rPr>
            </w:pPr>
            <w:proofErr w:type="spellStart"/>
            <w:r w:rsidRPr="00B06229">
              <w:rPr>
                <w:rStyle w:val="apple-style-span"/>
                <w:lang w:val="ru-RU"/>
              </w:rPr>
              <w:t>Ernst</w:t>
            </w:r>
            <w:proofErr w:type="spellEnd"/>
            <w:r w:rsidRPr="00B06229">
              <w:rPr>
                <w:rStyle w:val="apple-style-span"/>
                <w:lang w:val="ru-RU"/>
              </w:rPr>
              <w:t xml:space="preserve"> &amp; </w:t>
            </w:r>
            <w:proofErr w:type="spellStart"/>
            <w:r w:rsidRPr="00B06229">
              <w:rPr>
                <w:rStyle w:val="apple-style-span"/>
                <w:lang w:val="ru-RU"/>
              </w:rPr>
              <w:t>Young</w:t>
            </w:r>
            <w:proofErr w:type="spellEnd"/>
            <w:r w:rsidRPr="00B06229">
              <w:rPr>
                <w:rStyle w:val="apple-style-span"/>
                <w:lang w:val="ru-RU"/>
              </w:rPr>
              <w:t xml:space="preserve"> LLC</w:t>
            </w:r>
          </w:p>
        </w:tc>
      </w:tr>
    </w:tbl>
    <w:p w:rsidR="00226A22" w:rsidRPr="00CB5F06" w:rsidRDefault="00226A22" w:rsidP="007B0A01">
      <w:pPr>
        <w:pStyle w:val="2"/>
        <w:rPr>
          <w:rFonts w:ascii="13" w:hAnsi="13"/>
          <w:sz w:val="26"/>
          <w:szCs w:val="26"/>
        </w:rPr>
      </w:pPr>
    </w:p>
    <w:p w:rsidR="00204A9F" w:rsidRPr="00204A9F" w:rsidRDefault="00204A9F" w:rsidP="00204A9F">
      <w:pPr>
        <w:ind w:left="1080"/>
        <w:jc w:val="both"/>
        <w:rPr>
          <w:bCs/>
          <w:sz w:val="24"/>
          <w:szCs w:val="24"/>
          <w:lang w:val="en-US"/>
        </w:rPr>
      </w:pPr>
      <w:r w:rsidRPr="00204A9F">
        <w:rPr>
          <w:bCs/>
          <w:sz w:val="24"/>
          <w:szCs w:val="24"/>
          <w:lang w:val="en-US"/>
        </w:rPr>
        <w:t xml:space="preserve">The main business activities of IDGC of Centre, JSC are: </w:t>
      </w:r>
    </w:p>
    <w:p w:rsidR="00204A9F" w:rsidRPr="00204A9F" w:rsidRDefault="00204A9F" w:rsidP="00204A9F">
      <w:pPr>
        <w:ind w:left="1080"/>
        <w:jc w:val="both"/>
        <w:rPr>
          <w:bCs/>
          <w:sz w:val="24"/>
          <w:szCs w:val="24"/>
          <w:lang w:val="en-US"/>
        </w:rPr>
      </w:pPr>
    </w:p>
    <w:p w:rsidR="00204A9F" w:rsidRPr="00204A9F" w:rsidRDefault="00204A9F" w:rsidP="00204A9F">
      <w:pPr>
        <w:numPr>
          <w:ilvl w:val="0"/>
          <w:numId w:val="2"/>
        </w:numPr>
        <w:tabs>
          <w:tab w:val="clear" w:pos="720"/>
          <w:tab w:val="num" w:pos="1350"/>
        </w:tabs>
        <w:ind w:left="1080" w:hanging="371"/>
        <w:jc w:val="both"/>
        <w:rPr>
          <w:bCs/>
          <w:sz w:val="24"/>
          <w:szCs w:val="24"/>
          <w:lang w:val="en-US"/>
        </w:rPr>
      </w:pPr>
      <w:r w:rsidRPr="00204A9F">
        <w:rPr>
          <w:bCs/>
          <w:sz w:val="24"/>
          <w:szCs w:val="24"/>
          <w:lang w:val="en-US"/>
        </w:rPr>
        <w:t xml:space="preserve">Electric power transmission and distribution in 0.4-110 kV power grid. </w:t>
      </w:r>
    </w:p>
    <w:p w:rsidR="00204A9F" w:rsidRPr="00204A9F" w:rsidRDefault="00204A9F" w:rsidP="00204A9F">
      <w:pPr>
        <w:numPr>
          <w:ilvl w:val="0"/>
          <w:numId w:val="2"/>
        </w:numPr>
        <w:tabs>
          <w:tab w:val="clear" w:pos="720"/>
          <w:tab w:val="num" w:pos="1350"/>
        </w:tabs>
        <w:ind w:left="1080" w:hanging="371"/>
        <w:jc w:val="both"/>
        <w:rPr>
          <w:bCs/>
          <w:sz w:val="24"/>
          <w:szCs w:val="24"/>
          <w:lang w:val="en-US"/>
        </w:rPr>
      </w:pPr>
      <w:r w:rsidRPr="00204A9F">
        <w:rPr>
          <w:bCs/>
          <w:sz w:val="24"/>
          <w:szCs w:val="24"/>
          <w:lang w:val="en-US"/>
        </w:rPr>
        <w:t>New connections to 0.4-110 kV power grid.</w:t>
      </w:r>
    </w:p>
    <w:p w:rsidR="00204A9F" w:rsidRPr="00204A9F" w:rsidRDefault="00204A9F" w:rsidP="00204A9F">
      <w:pPr>
        <w:numPr>
          <w:ilvl w:val="0"/>
          <w:numId w:val="2"/>
        </w:numPr>
        <w:tabs>
          <w:tab w:val="clear" w:pos="720"/>
          <w:tab w:val="num" w:pos="1350"/>
        </w:tabs>
        <w:ind w:left="1080" w:hanging="371"/>
        <w:jc w:val="both"/>
        <w:rPr>
          <w:bCs/>
          <w:sz w:val="24"/>
          <w:szCs w:val="24"/>
          <w:lang w:val="en-US"/>
        </w:rPr>
      </w:pPr>
      <w:r w:rsidRPr="00204A9F">
        <w:rPr>
          <w:bCs/>
          <w:sz w:val="24"/>
          <w:szCs w:val="24"/>
          <w:lang w:val="en-US"/>
        </w:rPr>
        <w:t>Sale of electric energy (power).</w:t>
      </w:r>
    </w:p>
    <w:p w:rsidR="00B8557A" w:rsidRPr="00D66BB2" w:rsidRDefault="00204A9F" w:rsidP="00204A9F">
      <w:pPr>
        <w:numPr>
          <w:ilvl w:val="0"/>
          <w:numId w:val="2"/>
        </w:numPr>
        <w:tabs>
          <w:tab w:val="clear" w:pos="720"/>
          <w:tab w:val="num" w:pos="1350"/>
        </w:tabs>
        <w:ind w:left="1080" w:hanging="371"/>
        <w:jc w:val="both"/>
        <w:rPr>
          <w:sz w:val="24"/>
          <w:szCs w:val="24"/>
          <w:lang w:val="ru-RU"/>
        </w:rPr>
      </w:pPr>
      <w:proofErr w:type="spellStart"/>
      <w:r w:rsidRPr="00204A9F">
        <w:rPr>
          <w:bCs/>
          <w:sz w:val="24"/>
          <w:szCs w:val="24"/>
          <w:lang w:val="ru-RU"/>
        </w:rPr>
        <w:t>Other</w:t>
      </w:r>
      <w:proofErr w:type="spellEnd"/>
      <w:r w:rsidRPr="00204A9F">
        <w:rPr>
          <w:bCs/>
          <w:sz w:val="24"/>
          <w:szCs w:val="24"/>
          <w:lang w:val="ru-RU"/>
        </w:rPr>
        <w:t xml:space="preserve"> </w:t>
      </w:r>
      <w:proofErr w:type="spellStart"/>
      <w:r w:rsidRPr="00204A9F">
        <w:rPr>
          <w:bCs/>
          <w:sz w:val="24"/>
          <w:szCs w:val="24"/>
          <w:lang w:val="ru-RU"/>
        </w:rPr>
        <w:t>services</w:t>
      </w:r>
      <w:proofErr w:type="spellEnd"/>
    </w:p>
    <w:p w:rsidR="00976BD9" w:rsidRPr="00D66BB2" w:rsidRDefault="00976BD9" w:rsidP="00976BD9">
      <w:pPr>
        <w:pStyle w:val="ab"/>
        <w:rPr>
          <w:sz w:val="24"/>
          <w:szCs w:val="24"/>
          <w:lang w:val="ru-RU"/>
        </w:rPr>
      </w:pPr>
    </w:p>
    <w:p w:rsidR="00204A9F" w:rsidRPr="00204A9F" w:rsidRDefault="00204A9F" w:rsidP="00204A9F">
      <w:pPr>
        <w:tabs>
          <w:tab w:val="left" w:pos="142"/>
          <w:tab w:val="left" w:pos="425"/>
        </w:tabs>
        <w:spacing w:before="120"/>
        <w:ind w:firstLine="709"/>
        <w:jc w:val="both"/>
        <w:rPr>
          <w:bCs/>
          <w:sz w:val="24"/>
          <w:szCs w:val="24"/>
          <w:lang w:val="en-US"/>
        </w:rPr>
      </w:pPr>
      <w:r w:rsidRPr="00204A9F">
        <w:rPr>
          <w:bCs/>
          <w:sz w:val="24"/>
          <w:szCs w:val="24"/>
          <w:lang w:val="en-US"/>
        </w:rPr>
        <w:t xml:space="preserve">The main sales markets of the services provided by IDGC of Centre, JSC and the Company’s branches are 11 constituent entities of the Russian Federation, located in Central Federal District of the Russian Federation, in which IDGC of Centre, JSC operates. These constituent entities include the Belgorod, Bryansk, Voronezh, Kostroma, Kursk, Lipetsk, Orel, Smolensk, Tambov, </w:t>
      </w:r>
      <w:proofErr w:type="spellStart"/>
      <w:r w:rsidRPr="00204A9F">
        <w:rPr>
          <w:bCs/>
          <w:sz w:val="24"/>
          <w:szCs w:val="24"/>
          <w:lang w:val="en-US"/>
        </w:rPr>
        <w:t>Tver</w:t>
      </w:r>
      <w:proofErr w:type="spellEnd"/>
      <w:r w:rsidRPr="00204A9F">
        <w:rPr>
          <w:bCs/>
          <w:sz w:val="24"/>
          <w:szCs w:val="24"/>
          <w:lang w:val="en-US"/>
        </w:rPr>
        <w:t xml:space="preserve"> and Yaroslavl regions. </w:t>
      </w:r>
    </w:p>
    <w:p w:rsidR="00002E43" w:rsidRPr="00204A9F" w:rsidRDefault="00204A9F" w:rsidP="00204A9F">
      <w:pPr>
        <w:tabs>
          <w:tab w:val="left" w:pos="142"/>
          <w:tab w:val="left" w:pos="425"/>
        </w:tabs>
        <w:spacing w:before="120"/>
        <w:ind w:firstLine="709"/>
        <w:jc w:val="both"/>
        <w:rPr>
          <w:rStyle w:val="Subst"/>
          <w:b w:val="0"/>
          <w:bCs/>
          <w:i w:val="0"/>
          <w:iCs/>
          <w:sz w:val="24"/>
          <w:szCs w:val="24"/>
          <w:lang w:val="en-US"/>
        </w:rPr>
      </w:pPr>
      <w:r w:rsidRPr="00204A9F">
        <w:rPr>
          <w:bCs/>
          <w:sz w:val="24"/>
          <w:szCs w:val="24"/>
          <w:lang w:val="en-US"/>
        </w:rPr>
        <w:t>IDGC of Centre, JSC renders grid connection services to the following final applicants: individuals (private sector), legal entities (small, medium-sized, large business), territorial co-operating grid companies, budget companies</w:t>
      </w:r>
      <w:r w:rsidR="00226A22" w:rsidRPr="00204A9F">
        <w:rPr>
          <w:rStyle w:val="Subst"/>
          <w:b w:val="0"/>
          <w:bCs/>
          <w:i w:val="0"/>
          <w:iCs/>
          <w:sz w:val="24"/>
          <w:szCs w:val="24"/>
          <w:lang w:val="en-US"/>
        </w:rPr>
        <w:t>.</w:t>
      </w:r>
    </w:p>
    <w:p w:rsidR="00930458" w:rsidRPr="00204A9F" w:rsidRDefault="00930458" w:rsidP="009A115D">
      <w:pPr>
        <w:ind w:firstLine="709"/>
        <w:jc w:val="both"/>
        <w:rPr>
          <w:rStyle w:val="Subst"/>
          <w:b w:val="0"/>
          <w:bCs/>
          <w:i w:val="0"/>
          <w:iCs/>
          <w:sz w:val="24"/>
          <w:szCs w:val="24"/>
          <w:lang w:val="en-US"/>
        </w:rPr>
      </w:pPr>
    </w:p>
    <w:p w:rsidR="00D925CB" w:rsidRPr="00D925CB" w:rsidRDefault="00057023" w:rsidP="00D925CB">
      <w:pPr>
        <w:ind w:left="-90" w:firstLine="810"/>
        <w:jc w:val="both"/>
        <w:rPr>
          <w:rStyle w:val="Subst"/>
          <w:b w:val="0"/>
          <w:bCs/>
          <w:i w:val="0"/>
          <w:iCs/>
          <w:sz w:val="24"/>
          <w:szCs w:val="24"/>
          <w:lang w:val="en-US"/>
        </w:rPr>
      </w:pPr>
      <w:r>
        <w:rPr>
          <w:rStyle w:val="Subst"/>
          <w:b w:val="0"/>
          <w:bCs/>
          <w:i w:val="0"/>
          <w:iCs/>
          <w:sz w:val="24"/>
          <w:szCs w:val="24"/>
          <w:lang w:val="en-US"/>
        </w:rPr>
        <w:t>F</w:t>
      </w:r>
      <w:r w:rsidR="00204A9F" w:rsidRPr="00D925CB">
        <w:rPr>
          <w:rStyle w:val="Subst"/>
          <w:b w:val="0"/>
          <w:bCs/>
          <w:i w:val="0"/>
          <w:iCs/>
          <w:sz w:val="24"/>
          <w:szCs w:val="24"/>
          <w:lang w:val="en-US"/>
        </w:rPr>
        <w:t>rom</w:t>
      </w:r>
      <w:r w:rsidR="001A0D78" w:rsidRPr="00D925CB">
        <w:rPr>
          <w:rStyle w:val="Subst"/>
          <w:b w:val="0"/>
          <w:bCs/>
          <w:i w:val="0"/>
          <w:iCs/>
          <w:sz w:val="24"/>
          <w:szCs w:val="24"/>
          <w:lang w:val="en-US"/>
        </w:rPr>
        <w:t xml:space="preserve"> 01.02.2014 </w:t>
      </w:r>
      <w:r w:rsidR="00D925CB" w:rsidRPr="00D925CB">
        <w:rPr>
          <w:rStyle w:val="Subst"/>
          <w:b w:val="0"/>
          <w:bCs/>
          <w:i w:val="0"/>
          <w:iCs/>
          <w:sz w:val="24"/>
          <w:szCs w:val="24"/>
          <w:lang w:val="en-US"/>
        </w:rPr>
        <w:t xml:space="preserve">the transfer of functions of a supplier of </w:t>
      </w:r>
      <w:r w:rsidR="00D925CB">
        <w:rPr>
          <w:rStyle w:val="Subst"/>
          <w:b w:val="0"/>
          <w:bCs/>
          <w:i w:val="0"/>
          <w:iCs/>
          <w:sz w:val="24"/>
          <w:szCs w:val="24"/>
          <w:lang w:val="en-US"/>
        </w:rPr>
        <w:t xml:space="preserve">last resort to </w:t>
      </w:r>
      <w:r w:rsidR="00D925CB" w:rsidRPr="00D925CB">
        <w:rPr>
          <w:rStyle w:val="Subst"/>
          <w:b w:val="0"/>
          <w:bCs/>
          <w:i w:val="0"/>
          <w:iCs/>
          <w:sz w:val="24"/>
          <w:szCs w:val="24"/>
          <w:lang w:val="en-US"/>
        </w:rPr>
        <w:t xml:space="preserve">other organizations - winners of the </w:t>
      </w:r>
      <w:r w:rsidR="00D925CB">
        <w:rPr>
          <w:rStyle w:val="Subst"/>
          <w:b w:val="0"/>
          <w:bCs/>
          <w:i w:val="0"/>
          <w:iCs/>
          <w:sz w:val="24"/>
          <w:szCs w:val="24"/>
          <w:lang w:val="en-US"/>
        </w:rPr>
        <w:t>tender</w:t>
      </w:r>
      <w:r w:rsidR="00D925CB" w:rsidRPr="00D925CB">
        <w:rPr>
          <w:rStyle w:val="Subst"/>
          <w:b w:val="0"/>
          <w:bCs/>
          <w:i w:val="0"/>
          <w:iCs/>
          <w:sz w:val="24"/>
          <w:szCs w:val="24"/>
          <w:lang w:val="en-US"/>
        </w:rPr>
        <w:t xml:space="preserve"> began: in </w:t>
      </w:r>
      <w:proofErr w:type="spellStart"/>
      <w:r w:rsidR="00D925CB" w:rsidRPr="00D925CB">
        <w:rPr>
          <w:rStyle w:val="Subst"/>
          <w:b w:val="0"/>
          <w:bCs/>
          <w:i w:val="0"/>
          <w:iCs/>
          <w:sz w:val="24"/>
          <w:szCs w:val="24"/>
          <w:lang w:val="en-US"/>
        </w:rPr>
        <w:t>Or</w:t>
      </w:r>
      <w:r w:rsidR="00D925CB">
        <w:rPr>
          <w:rStyle w:val="Subst"/>
          <w:b w:val="0"/>
          <w:bCs/>
          <w:i w:val="0"/>
          <w:iCs/>
          <w:sz w:val="24"/>
          <w:szCs w:val="24"/>
          <w:lang w:val="en-US"/>
        </w:rPr>
        <w:t>e</w:t>
      </w:r>
      <w:r w:rsidR="00D925CB" w:rsidRPr="00D925CB">
        <w:rPr>
          <w:rStyle w:val="Subst"/>
          <w:b w:val="0"/>
          <w:bCs/>
          <w:i w:val="0"/>
          <w:iCs/>
          <w:sz w:val="24"/>
          <w:szCs w:val="24"/>
          <w:lang w:val="en-US"/>
        </w:rPr>
        <w:t>lenergo</w:t>
      </w:r>
      <w:proofErr w:type="spellEnd"/>
      <w:r w:rsidR="00D925CB" w:rsidRPr="00D925CB">
        <w:rPr>
          <w:rStyle w:val="Subst"/>
          <w:b w:val="0"/>
          <w:bCs/>
          <w:i w:val="0"/>
          <w:iCs/>
          <w:sz w:val="24"/>
          <w:szCs w:val="24"/>
          <w:lang w:val="en-US"/>
        </w:rPr>
        <w:t xml:space="preserve"> - from 01.02.2014, </w:t>
      </w:r>
      <w:r w:rsidR="00D925CB">
        <w:rPr>
          <w:rStyle w:val="Subst"/>
          <w:b w:val="0"/>
          <w:bCs/>
          <w:i w:val="0"/>
          <w:iCs/>
          <w:sz w:val="24"/>
          <w:szCs w:val="24"/>
          <w:lang w:val="en-US"/>
        </w:rPr>
        <w:t xml:space="preserve">in </w:t>
      </w:r>
      <w:proofErr w:type="spellStart"/>
      <w:r w:rsidR="00D925CB" w:rsidRPr="00D925CB">
        <w:rPr>
          <w:rStyle w:val="Subst"/>
          <w:b w:val="0"/>
          <w:bCs/>
          <w:i w:val="0"/>
          <w:iCs/>
          <w:sz w:val="24"/>
          <w:szCs w:val="24"/>
          <w:lang w:val="en-US"/>
        </w:rPr>
        <w:t>Kurskenergo</w:t>
      </w:r>
      <w:proofErr w:type="spellEnd"/>
      <w:r w:rsidR="00D925CB" w:rsidRPr="00D925CB">
        <w:rPr>
          <w:rStyle w:val="Subst"/>
          <w:b w:val="0"/>
          <w:bCs/>
          <w:i w:val="0"/>
          <w:iCs/>
          <w:sz w:val="24"/>
          <w:szCs w:val="24"/>
          <w:lang w:val="en-US"/>
        </w:rPr>
        <w:t xml:space="preserve"> and </w:t>
      </w:r>
      <w:proofErr w:type="spellStart"/>
      <w:r w:rsidR="00D925CB" w:rsidRPr="00D925CB">
        <w:rPr>
          <w:rStyle w:val="Subst"/>
          <w:b w:val="0"/>
          <w:bCs/>
          <w:i w:val="0"/>
          <w:iCs/>
          <w:sz w:val="24"/>
          <w:szCs w:val="24"/>
          <w:lang w:val="en-US"/>
        </w:rPr>
        <w:t>Tverenergo</w:t>
      </w:r>
      <w:proofErr w:type="spellEnd"/>
      <w:r w:rsidR="00D925CB" w:rsidRPr="00D925CB">
        <w:rPr>
          <w:rStyle w:val="Subst"/>
          <w:b w:val="0"/>
          <w:bCs/>
          <w:i w:val="0"/>
          <w:iCs/>
          <w:sz w:val="24"/>
          <w:szCs w:val="24"/>
          <w:lang w:val="en-US"/>
        </w:rPr>
        <w:t xml:space="preserve"> - from 01.04.2014 and 01.12.2014, in </w:t>
      </w:r>
      <w:proofErr w:type="spellStart"/>
      <w:r w:rsidR="00D925CB" w:rsidRPr="00D925CB">
        <w:rPr>
          <w:rStyle w:val="Subst"/>
          <w:b w:val="0"/>
          <w:bCs/>
          <w:i w:val="0"/>
          <w:iCs/>
          <w:sz w:val="24"/>
          <w:szCs w:val="24"/>
          <w:lang w:val="en-US"/>
        </w:rPr>
        <w:t>Bryanskenergo</w:t>
      </w:r>
      <w:proofErr w:type="spellEnd"/>
      <w:r w:rsidR="00D925CB" w:rsidRPr="00D925CB">
        <w:rPr>
          <w:rStyle w:val="Subst"/>
          <w:b w:val="0"/>
          <w:bCs/>
          <w:i w:val="0"/>
          <w:iCs/>
          <w:sz w:val="24"/>
          <w:szCs w:val="24"/>
          <w:lang w:val="en-US"/>
        </w:rPr>
        <w:t xml:space="preserve"> and </w:t>
      </w:r>
      <w:proofErr w:type="spellStart"/>
      <w:r w:rsidR="00D925CB" w:rsidRPr="00D925CB">
        <w:rPr>
          <w:rStyle w:val="Subst"/>
          <w:b w:val="0"/>
          <w:bCs/>
          <w:i w:val="0"/>
          <w:iCs/>
          <w:sz w:val="24"/>
          <w:szCs w:val="24"/>
          <w:lang w:val="en-US"/>
        </w:rPr>
        <w:t>Smolenskenergo</w:t>
      </w:r>
      <w:proofErr w:type="spellEnd"/>
      <w:r w:rsidR="00D925CB" w:rsidRPr="00D925CB">
        <w:rPr>
          <w:rStyle w:val="Subst"/>
          <w:b w:val="0"/>
          <w:bCs/>
          <w:i w:val="0"/>
          <w:iCs/>
          <w:sz w:val="24"/>
          <w:szCs w:val="24"/>
          <w:lang w:val="en-US"/>
        </w:rPr>
        <w:t xml:space="preserve"> - from 01.06.2014.</w:t>
      </w:r>
    </w:p>
    <w:p w:rsidR="00F0601C" w:rsidRPr="0040480F" w:rsidRDefault="00D925CB" w:rsidP="0040480F">
      <w:pPr>
        <w:ind w:left="-90" w:firstLine="810"/>
        <w:jc w:val="both"/>
        <w:rPr>
          <w:bCs/>
          <w:iCs/>
          <w:sz w:val="24"/>
          <w:szCs w:val="24"/>
          <w:lang w:val="en-US"/>
        </w:rPr>
      </w:pPr>
      <w:r w:rsidRPr="00D925CB">
        <w:rPr>
          <w:rStyle w:val="Subst"/>
          <w:b w:val="0"/>
          <w:bCs/>
          <w:i w:val="0"/>
          <w:iCs/>
          <w:sz w:val="24"/>
          <w:szCs w:val="24"/>
          <w:lang w:val="en-US"/>
        </w:rPr>
        <w:t xml:space="preserve">In 2013 the function of </w:t>
      </w:r>
      <w:r>
        <w:rPr>
          <w:rStyle w:val="Subst"/>
          <w:b w:val="0"/>
          <w:bCs/>
          <w:i w:val="0"/>
          <w:iCs/>
          <w:sz w:val="24"/>
          <w:szCs w:val="24"/>
          <w:lang w:val="en-US"/>
        </w:rPr>
        <w:t>the</w:t>
      </w:r>
      <w:r w:rsidRPr="00D925CB">
        <w:rPr>
          <w:rStyle w:val="Subst"/>
          <w:b w:val="0"/>
          <w:bCs/>
          <w:i w:val="0"/>
          <w:iCs/>
          <w:sz w:val="24"/>
          <w:szCs w:val="24"/>
          <w:lang w:val="en-US"/>
        </w:rPr>
        <w:t xml:space="preserve"> supplier of </w:t>
      </w:r>
      <w:r>
        <w:rPr>
          <w:rStyle w:val="Subst"/>
          <w:b w:val="0"/>
          <w:bCs/>
          <w:i w:val="0"/>
          <w:iCs/>
          <w:sz w:val="24"/>
          <w:szCs w:val="24"/>
          <w:lang w:val="en-US"/>
        </w:rPr>
        <w:t xml:space="preserve">last resort were </w:t>
      </w:r>
      <w:r w:rsidRPr="00D925CB">
        <w:rPr>
          <w:rStyle w:val="Subst"/>
          <w:b w:val="0"/>
          <w:bCs/>
          <w:i w:val="0"/>
          <w:iCs/>
          <w:sz w:val="24"/>
          <w:szCs w:val="24"/>
          <w:lang w:val="en-US"/>
        </w:rPr>
        <w:t xml:space="preserve">performed </w:t>
      </w:r>
      <w:r>
        <w:rPr>
          <w:rStyle w:val="Subst"/>
          <w:b w:val="0"/>
          <w:bCs/>
          <w:i w:val="0"/>
          <w:iCs/>
          <w:sz w:val="24"/>
          <w:szCs w:val="24"/>
          <w:lang w:val="en-US"/>
        </w:rPr>
        <w:t>from</w:t>
      </w:r>
      <w:r w:rsidRPr="00D925CB">
        <w:rPr>
          <w:rStyle w:val="Subst"/>
          <w:b w:val="0"/>
          <w:bCs/>
          <w:i w:val="0"/>
          <w:iCs/>
          <w:sz w:val="24"/>
          <w:szCs w:val="24"/>
          <w:lang w:val="en-US"/>
        </w:rPr>
        <w:t xml:space="preserve"> </w:t>
      </w:r>
      <w:r w:rsidRPr="00D925CB">
        <w:rPr>
          <w:rStyle w:val="Subst"/>
          <w:b w:val="0"/>
          <w:i w:val="0"/>
          <w:iCs/>
          <w:sz w:val="24"/>
          <w:szCs w:val="24"/>
          <w:lang w:val="en-US"/>
        </w:rPr>
        <w:t xml:space="preserve">01.02.13 </w:t>
      </w:r>
      <w:r>
        <w:rPr>
          <w:rStyle w:val="Subst"/>
          <w:b w:val="0"/>
          <w:bCs/>
          <w:i w:val="0"/>
          <w:iCs/>
          <w:sz w:val="24"/>
          <w:szCs w:val="24"/>
          <w:lang w:val="en-US"/>
        </w:rPr>
        <w:t xml:space="preserve">by </w:t>
      </w:r>
      <w:proofErr w:type="spellStart"/>
      <w:r w:rsidRPr="00D925CB">
        <w:rPr>
          <w:rStyle w:val="Subst"/>
          <w:b w:val="0"/>
          <w:bCs/>
          <w:i w:val="0"/>
          <w:iCs/>
          <w:sz w:val="24"/>
          <w:szCs w:val="24"/>
          <w:lang w:val="en-US"/>
        </w:rPr>
        <w:t>Kurskenergo</w:t>
      </w:r>
      <w:proofErr w:type="spellEnd"/>
      <w:r w:rsidRPr="00D925CB">
        <w:rPr>
          <w:rStyle w:val="Subst"/>
          <w:b w:val="0"/>
          <w:bCs/>
          <w:i w:val="0"/>
          <w:iCs/>
          <w:sz w:val="24"/>
          <w:szCs w:val="24"/>
          <w:lang w:val="en-US"/>
        </w:rPr>
        <w:t xml:space="preserve">, </w:t>
      </w:r>
      <w:proofErr w:type="spellStart"/>
      <w:r w:rsidRPr="00D925CB">
        <w:rPr>
          <w:rStyle w:val="Subst"/>
          <w:b w:val="0"/>
          <w:bCs/>
          <w:i w:val="0"/>
          <w:iCs/>
          <w:sz w:val="24"/>
          <w:szCs w:val="24"/>
          <w:lang w:val="en-US"/>
        </w:rPr>
        <w:t>Orelenergo</w:t>
      </w:r>
      <w:proofErr w:type="spellEnd"/>
      <w:r w:rsidRPr="00D925CB">
        <w:rPr>
          <w:rStyle w:val="Subst"/>
          <w:b w:val="0"/>
          <w:bCs/>
          <w:i w:val="0"/>
          <w:iCs/>
          <w:sz w:val="24"/>
          <w:szCs w:val="24"/>
          <w:lang w:val="en-US"/>
        </w:rPr>
        <w:t xml:space="preserve">, </w:t>
      </w:r>
      <w:proofErr w:type="spellStart"/>
      <w:r w:rsidRPr="00D925CB">
        <w:rPr>
          <w:rStyle w:val="Subst"/>
          <w:b w:val="0"/>
          <w:bCs/>
          <w:i w:val="0"/>
          <w:iCs/>
          <w:sz w:val="24"/>
          <w:szCs w:val="24"/>
          <w:lang w:val="en-US"/>
        </w:rPr>
        <w:t>Bryanskenergo</w:t>
      </w:r>
      <w:proofErr w:type="spellEnd"/>
      <w:r w:rsidRPr="00D925CB">
        <w:rPr>
          <w:rStyle w:val="Subst"/>
          <w:b w:val="0"/>
          <w:bCs/>
          <w:i w:val="0"/>
          <w:iCs/>
          <w:sz w:val="24"/>
          <w:szCs w:val="24"/>
          <w:lang w:val="en-US"/>
        </w:rPr>
        <w:t xml:space="preserve">, </w:t>
      </w:r>
      <w:r>
        <w:rPr>
          <w:rStyle w:val="Subst"/>
          <w:b w:val="0"/>
          <w:bCs/>
          <w:i w:val="0"/>
          <w:iCs/>
          <w:sz w:val="24"/>
          <w:szCs w:val="24"/>
          <w:lang w:val="en-US"/>
        </w:rPr>
        <w:t xml:space="preserve">from </w:t>
      </w:r>
      <w:r w:rsidRPr="00D925CB">
        <w:rPr>
          <w:rStyle w:val="Subst"/>
          <w:b w:val="0"/>
          <w:i w:val="0"/>
          <w:iCs/>
          <w:sz w:val="24"/>
          <w:szCs w:val="24"/>
          <w:lang w:val="en-US"/>
        </w:rPr>
        <w:t xml:space="preserve">01.05.2013 </w:t>
      </w:r>
      <w:r>
        <w:rPr>
          <w:rStyle w:val="Subst"/>
          <w:b w:val="0"/>
          <w:bCs/>
          <w:i w:val="0"/>
          <w:iCs/>
          <w:sz w:val="24"/>
          <w:szCs w:val="24"/>
          <w:lang w:val="en-US"/>
        </w:rPr>
        <w:t xml:space="preserve">by </w:t>
      </w:r>
      <w:proofErr w:type="spellStart"/>
      <w:r>
        <w:rPr>
          <w:rStyle w:val="Subst"/>
          <w:b w:val="0"/>
          <w:bCs/>
          <w:i w:val="0"/>
          <w:iCs/>
          <w:sz w:val="24"/>
          <w:szCs w:val="24"/>
          <w:lang w:val="en-US"/>
        </w:rPr>
        <w:t>Tver</w:t>
      </w:r>
      <w:r w:rsidRPr="00D925CB">
        <w:rPr>
          <w:rStyle w:val="Subst"/>
          <w:b w:val="0"/>
          <w:bCs/>
          <w:i w:val="0"/>
          <w:iCs/>
          <w:sz w:val="24"/>
          <w:szCs w:val="24"/>
          <w:lang w:val="en-US"/>
        </w:rPr>
        <w:t>energo</w:t>
      </w:r>
      <w:proofErr w:type="spellEnd"/>
      <w:r>
        <w:rPr>
          <w:rStyle w:val="Subst"/>
          <w:b w:val="0"/>
          <w:bCs/>
          <w:i w:val="0"/>
          <w:iCs/>
          <w:sz w:val="24"/>
          <w:szCs w:val="24"/>
          <w:lang w:val="en-US"/>
        </w:rPr>
        <w:t>, and from</w:t>
      </w:r>
      <w:r w:rsidRPr="00D925CB">
        <w:rPr>
          <w:rStyle w:val="Subst"/>
          <w:b w:val="0"/>
          <w:bCs/>
          <w:i w:val="0"/>
          <w:iCs/>
          <w:sz w:val="24"/>
          <w:szCs w:val="24"/>
          <w:lang w:val="en-US"/>
        </w:rPr>
        <w:t xml:space="preserve"> </w:t>
      </w:r>
      <w:r w:rsidRPr="00D925CB">
        <w:rPr>
          <w:rStyle w:val="Subst"/>
          <w:b w:val="0"/>
          <w:i w:val="0"/>
          <w:iCs/>
          <w:sz w:val="24"/>
          <w:szCs w:val="24"/>
          <w:lang w:val="en-US"/>
        </w:rPr>
        <w:t xml:space="preserve">01.10.2013 </w:t>
      </w:r>
      <w:r>
        <w:rPr>
          <w:rStyle w:val="Subst"/>
          <w:b w:val="0"/>
          <w:bCs/>
          <w:i w:val="0"/>
          <w:iCs/>
          <w:sz w:val="24"/>
          <w:szCs w:val="24"/>
          <w:lang w:val="en-US"/>
        </w:rPr>
        <w:t>by</w:t>
      </w:r>
      <w:r w:rsidRPr="00D925CB">
        <w:rPr>
          <w:rStyle w:val="Subst"/>
          <w:b w:val="0"/>
          <w:bCs/>
          <w:i w:val="0"/>
          <w:iCs/>
          <w:sz w:val="24"/>
          <w:szCs w:val="24"/>
          <w:lang w:val="en-US"/>
        </w:rPr>
        <w:t xml:space="preserve"> </w:t>
      </w:r>
      <w:proofErr w:type="spellStart"/>
      <w:r w:rsidRPr="00D925CB">
        <w:rPr>
          <w:rStyle w:val="Subst"/>
          <w:b w:val="0"/>
          <w:bCs/>
          <w:i w:val="0"/>
          <w:iCs/>
          <w:sz w:val="24"/>
          <w:szCs w:val="24"/>
          <w:lang w:val="en-US"/>
        </w:rPr>
        <w:t>Smolenskenergo</w:t>
      </w:r>
      <w:proofErr w:type="spellEnd"/>
      <w:r w:rsidR="001A0D78" w:rsidRPr="00D925CB">
        <w:rPr>
          <w:rStyle w:val="Subst"/>
          <w:b w:val="0"/>
          <w:bCs/>
          <w:i w:val="0"/>
          <w:iCs/>
          <w:sz w:val="24"/>
          <w:szCs w:val="24"/>
          <w:lang w:val="en-US"/>
        </w:rPr>
        <w:t xml:space="preserve">. </w:t>
      </w:r>
      <w:r w:rsidR="0040480F">
        <w:rPr>
          <w:rStyle w:val="Subst"/>
          <w:b w:val="0"/>
          <w:bCs/>
          <w:i w:val="0"/>
          <w:iCs/>
          <w:sz w:val="24"/>
          <w:szCs w:val="24"/>
          <w:lang w:val="en-US"/>
        </w:rPr>
        <w:t xml:space="preserve">     </w:t>
      </w:r>
      <w:r w:rsidR="001A0D78" w:rsidRPr="0040480F">
        <w:rPr>
          <w:rStyle w:val="Subst"/>
          <w:b w:val="0"/>
          <w:bCs/>
          <w:i w:val="0"/>
          <w:iCs/>
          <w:sz w:val="24"/>
          <w:szCs w:val="24"/>
          <w:lang w:val="en-US"/>
        </w:rPr>
        <w:t xml:space="preserve"> </w:t>
      </w:r>
    </w:p>
    <w:p w:rsidR="00F0601C" w:rsidRPr="0040480F" w:rsidRDefault="00F0601C" w:rsidP="009C2EE2">
      <w:pPr>
        <w:pStyle w:val="ab"/>
        <w:ind w:left="709"/>
        <w:jc w:val="both"/>
        <w:rPr>
          <w:b/>
          <w:bCs/>
          <w:sz w:val="24"/>
          <w:szCs w:val="24"/>
          <w:lang w:val="en-US"/>
        </w:rPr>
      </w:pPr>
    </w:p>
    <w:p w:rsidR="00226A22" w:rsidRPr="00265422" w:rsidRDefault="00265422" w:rsidP="009C2EE2">
      <w:pPr>
        <w:pStyle w:val="ab"/>
        <w:ind w:left="709"/>
        <w:jc w:val="both"/>
        <w:rPr>
          <w:b/>
          <w:bCs/>
          <w:sz w:val="24"/>
          <w:szCs w:val="24"/>
          <w:lang w:val="en-US"/>
        </w:rPr>
      </w:pPr>
      <w:r w:rsidRPr="00265422">
        <w:rPr>
          <w:b/>
          <w:bCs/>
          <w:sz w:val="24"/>
          <w:szCs w:val="24"/>
          <w:lang w:val="en-US"/>
        </w:rPr>
        <w:t>Divisions and representative offices of the Company</w:t>
      </w:r>
    </w:p>
    <w:p w:rsidR="00B707B0" w:rsidRPr="00265422" w:rsidRDefault="00B707B0" w:rsidP="00B707B0">
      <w:pPr>
        <w:pStyle w:val="ab"/>
        <w:ind w:left="709"/>
        <w:jc w:val="both"/>
        <w:rPr>
          <w:rFonts w:ascii="13" w:hAnsi="13"/>
          <w:b/>
          <w:bCs/>
          <w:spacing w:val="-2"/>
          <w:sz w:val="22"/>
          <w:szCs w:val="22"/>
          <w:lang w:val="en-US"/>
        </w:rPr>
      </w:pP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0"/>
        <w:gridCol w:w="4935"/>
        <w:gridCol w:w="3540"/>
      </w:tblGrid>
      <w:tr w:rsidR="00265422" w:rsidRPr="00836721" w:rsidTr="007C4502">
        <w:trPr>
          <w:trHeight w:val="354"/>
          <w:jc w:val="center"/>
        </w:trPr>
        <w:tc>
          <w:tcPr>
            <w:tcW w:w="730" w:type="dxa"/>
            <w:tcMar>
              <w:top w:w="75" w:type="dxa"/>
              <w:left w:w="75" w:type="dxa"/>
              <w:bottom w:w="75" w:type="dxa"/>
              <w:right w:w="75" w:type="dxa"/>
            </w:tcMar>
            <w:vAlign w:val="center"/>
          </w:tcPr>
          <w:p w:rsidR="00265422" w:rsidRPr="002B6121" w:rsidRDefault="00265422" w:rsidP="007C4502">
            <w:pPr>
              <w:ind w:firstLine="709"/>
              <w:jc w:val="center"/>
              <w:rPr>
                <w:rStyle w:val="apple-style-span"/>
                <w:b/>
                <w:lang w:val="ru-RU"/>
              </w:rPr>
            </w:pPr>
            <w:r w:rsidRPr="002B6121">
              <w:rPr>
                <w:rStyle w:val="apple-style-span"/>
                <w:b/>
                <w:lang w:val="ru-RU"/>
              </w:rPr>
              <w:t xml:space="preserve">№ </w:t>
            </w:r>
            <w:proofErr w:type="spellStart"/>
            <w:r w:rsidRPr="002B6121">
              <w:rPr>
                <w:rStyle w:val="apple-style-span"/>
                <w:b/>
                <w:lang w:val="ru-RU"/>
              </w:rPr>
              <w:t>Item</w:t>
            </w:r>
            <w:proofErr w:type="spellEnd"/>
            <w:r w:rsidRPr="002B6121">
              <w:rPr>
                <w:rStyle w:val="apple-style-span"/>
                <w:b/>
                <w:lang w:val="ru-RU"/>
              </w:rPr>
              <w:t xml:space="preserve"> #</w:t>
            </w:r>
          </w:p>
        </w:tc>
        <w:tc>
          <w:tcPr>
            <w:tcW w:w="4935" w:type="dxa"/>
            <w:tcMar>
              <w:top w:w="75" w:type="dxa"/>
              <w:left w:w="75" w:type="dxa"/>
              <w:bottom w:w="75" w:type="dxa"/>
              <w:right w:w="75" w:type="dxa"/>
            </w:tcMar>
            <w:vAlign w:val="center"/>
          </w:tcPr>
          <w:p w:rsidR="00265422" w:rsidRPr="002B6121" w:rsidRDefault="00265422" w:rsidP="007C4502">
            <w:pPr>
              <w:ind w:firstLine="709"/>
              <w:jc w:val="center"/>
              <w:rPr>
                <w:rStyle w:val="apple-style-span"/>
                <w:b/>
                <w:lang w:val="ru-RU"/>
              </w:rPr>
            </w:pPr>
            <w:proofErr w:type="spellStart"/>
            <w:r w:rsidRPr="002B6121">
              <w:rPr>
                <w:rStyle w:val="apple-style-span"/>
                <w:b/>
                <w:lang w:val="ru-RU"/>
              </w:rPr>
              <w:t>Division</w:t>
            </w:r>
            <w:proofErr w:type="spellEnd"/>
            <w:r w:rsidRPr="002B6121">
              <w:rPr>
                <w:rStyle w:val="apple-style-span"/>
                <w:b/>
                <w:lang w:val="ru-RU"/>
              </w:rPr>
              <w:t xml:space="preserve"> </w:t>
            </w:r>
            <w:proofErr w:type="spellStart"/>
            <w:r w:rsidRPr="002B6121">
              <w:rPr>
                <w:rStyle w:val="apple-style-span"/>
                <w:b/>
                <w:lang w:val="ru-RU"/>
              </w:rPr>
              <w:t>name</w:t>
            </w:r>
            <w:proofErr w:type="spellEnd"/>
          </w:p>
        </w:tc>
        <w:tc>
          <w:tcPr>
            <w:tcW w:w="3540" w:type="dxa"/>
            <w:tcMar>
              <w:top w:w="75" w:type="dxa"/>
              <w:left w:w="75" w:type="dxa"/>
              <w:bottom w:w="75" w:type="dxa"/>
              <w:right w:w="75" w:type="dxa"/>
            </w:tcMar>
            <w:vAlign w:val="bottom"/>
          </w:tcPr>
          <w:p w:rsidR="00265422" w:rsidRPr="00836721" w:rsidRDefault="00265422" w:rsidP="007C4502">
            <w:pPr>
              <w:rPr>
                <w:rStyle w:val="apple-style-span"/>
                <w:b/>
                <w:lang w:val="ru-RU"/>
              </w:rPr>
            </w:pPr>
            <w:proofErr w:type="spellStart"/>
            <w:r w:rsidRPr="002B6121">
              <w:rPr>
                <w:rStyle w:val="apple-style-span"/>
                <w:b/>
                <w:lang w:val="ru-RU"/>
              </w:rPr>
              <w:t>Division</w:t>
            </w:r>
            <w:proofErr w:type="spellEnd"/>
            <w:r w:rsidRPr="002B6121">
              <w:rPr>
                <w:rStyle w:val="apple-style-span"/>
                <w:b/>
                <w:lang w:val="ru-RU"/>
              </w:rPr>
              <w:t xml:space="preserve"> </w:t>
            </w:r>
            <w:proofErr w:type="spellStart"/>
            <w:r w:rsidRPr="002B6121">
              <w:rPr>
                <w:rStyle w:val="apple-style-span"/>
                <w:b/>
                <w:lang w:val="ru-RU"/>
              </w:rPr>
              <w:t>location</w:t>
            </w:r>
            <w:proofErr w:type="spellEnd"/>
          </w:p>
        </w:tc>
      </w:tr>
      <w:tr w:rsidR="00265422" w:rsidRPr="00265422" w:rsidTr="003E776E">
        <w:trPr>
          <w:trHeight w:val="290"/>
          <w:jc w:val="center"/>
        </w:trPr>
        <w:tc>
          <w:tcPr>
            <w:tcW w:w="730" w:type="dxa"/>
            <w:tcMar>
              <w:top w:w="75" w:type="dxa"/>
              <w:left w:w="75" w:type="dxa"/>
              <w:bottom w:w="75" w:type="dxa"/>
              <w:right w:w="75" w:type="dxa"/>
            </w:tcMar>
            <w:vAlign w:val="center"/>
          </w:tcPr>
          <w:p w:rsidR="00265422" w:rsidRPr="00836721" w:rsidRDefault="00265422" w:rsidP="007C4502">
            <w:pPr>
              <w:ind w:firstLine="709"/>
              <w:jc w:val="center"/>
              <w:rPr>
                <w:rStyle w:val="apple-style-span"/>
                <w:lang w:val="ru-RU"/>
              </w:rPr>
            </w:pPr>
            <w:r w:rsidRPr="00836721">
              <w:rPr>
                <w:rStyle w:val="apple-style-span"/>
                <w:lang w:val="ru-RU"/>
              </w:rPr>
              <w:t>11.</w:t>
            </w:r>
          </w:p>
        </w:tc>
        <w:tc>
          <w:tcPr>
            <w:tcW w:w="4935" w:type="dxa"/>
            <w:tcMar>
              <w:top w:w="75" w:type="dxa"/>
              <w:left w:w="75" w:type="dxa"/>
              <w:bottom w:w="75" w:type="dxa"/>
              <w:right w:w="75" w:type="dxa"/>
            </w:tcMar>
            <w:vAlign w:val="center"/>
          </w:tcPr>
          <w:p w:rsidR="00265422" w:rsidRPr="00924D4B" w:rsidRDefault="00265422" w:rsidP="007C4502">
            <w:pPr>
              <w:ind w:firstLine="709"/>
              <w:rPr>
                <w:rStyle w:val="apple-style-span"/>
                <w:lang w:val="en-US"/>
              </w:rPr>
            </w:pPr>
            <w:r w:rsidRPr="00924D4B">
              <w:rPr>
                <w:rStyle w:val="apple-style-span"/>
                <w:lang w:val="en-US"/>
              </w:rPr>
              <w:t> Division of IDGC of Centre, JSC – “</w:t>
            </w:r>
            <w:proofErr w:type="spellStart"/>
            <w:r w:rsidRPr="00924D4B">
              <w:rPr>
                <w:rStyle w:val="apple-style-span"/>
                <w:lang w:val="en-US"/>
              </w:rPr>
              <w:t>Belgorodenergo</w:t>
            </w:r>
            <w:proofErr w:type="spellEnd"/>
            <w:r w:rsidRPr="00924D4B">
              <w:rPr>
                <w:rStyle w:val="apple-style-span"/>
                <w:lang w:val="en-US"/>
              </w:rPr>
              <w:t>”</w:t>
            </w:r>
          </w:p>
        </w:tc>
        <w:tc>
          <w:tcPr>
            <w:tcW w:w="3540" w:type="dxa"/>
            <w:tcMar>
              <w:top w:w="75" w:type="dxa"/>
              <w:left w:w="75" w:type="dxa"/>
              <w:bottom w:w="75" w:type="dxa"/>
              <w:right w:w="75" w:type="dxa"/>
            </w:tcMar>
            <w:vAlign w:val="center"/>
          </w:tcPr>
          <w:p w:rsidR="00265422" w:rsidRPr="00924D4B" w:rsidRDefault="00265422" w:rsidP="007C4502">
            <w:pPr>
              <w:rPr>
                <w:rStyle w:val="apple-style-span"/>
                <w:lang w:val="en-US"/>
              </w:rPr>
            </w:pPr>
            <w:r w:rsidRPr="00924D4B">
              <w:rPr>
                <w:rStyle w:val="apple-style-span"/>
                <w:lang w:val="en-US"/>
              </w:rPr>
              <w:t xml:space="preserve">42 </w:t>
            </w:r>
            <w:proofErr w:type="spellStart"/>
            <w:r w:rsidRPr="00924D4B">
              <w:rPr>
                <w:rStyle w:val="apple-style-span"/>
                <w:lang w:val="en-US"/>
              </w:rPr>
              <w:t>Preobrazhenskaya</w:t>
            </w:r>
            <w:proofErr w:type="spellEnd"/>
            <w:r w:rsidRPr="00924D4B">
              <w:rPr>
                <w:rStyle w:val="apple-style-span"/>
                <w:lang w:val="en-US"/>
              </w:rPr>
              <w:t xml:space="preserve"> St., Belgorod, 308000, the Russian Federation</w:t>
            </w:r>
          </w:p>
        </w:tc>
      </w:tr>
      <w:tr w:rsidR="00265422" w:rsidRPr="00265422" w:rsidTr="007C4502">
        <w:trPr>
          <w:trHeight w:val="25"/>
          <w:jc w:val="center"/>
        </w:trPr>
        <w:tc>
          <w:tcPr>
            <w:tcW w:w="730" w:type="dxa"/>
            <w:tcMar>
              <w:top w:w="75" w:type="dxa"/>
              <w:left w:w="75" w:type="dxa"/>
              <w:bottom w:w="75" w:type="dxa"/>
              <w:right w:w="75" w:type="dxa"/>
            </w:tcMar>
            <w:vAlign w:val="center"/>
          </w:tcPr>
          <w:p w:rsidR="00265422" w:rsidRPr="00836721" w:rsidRDefault="00265422" w:rsidP="007C4502">
            <w:pPr>
              <w:spacing w:line="26" w:lineRule="atLeast"/>
              <w:ind w:firstLine="709"/>
              <w:jc w:val="center"/>
              <w:rPr>
                <w:rStyle w:val="apple-style-span"/>
                <w:lang w:val="ru-RU"/>
              </w:rPr>
            </w:pPr>
            <w:r w:rsidRPr="00836721">
              <w:rPr>
                <w:rStyle w:val="apple-style-span"/>
                <w:lang w:val="ru-RU"/>
              </w:rPr>
              <w:t>22.</w:t>
            </w:r>
          </w:p>
        </w:tc>
        <w:tc>
          <w:tcPr>
            <w:tcW w:w="4935" w:type="dxa"/>
            <w:tcMar>
              <w:top w:w="75" w:type="dxa"/>
              <w:left w:w="75" w:type="dxa"/>
              <w:bottom w:w="75" w:type="dxa"/>
              <w:right w:w="75" w:type="dxa"/>
            </w:tcMar>
            <w:vAlign w:val="center"/>
          </w:tcPr>
          <w:p w:rsidR="00265422" w:rsidRPr="00F36497" w:rsidRDefault="00265422" w:rsidP="007C4502">
            <w:pPr>
              <w:spacing w:line="26"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Bryanskenergo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 xml:space="preserve">35 </w:t>
            </w:r>
            <w:proofErr w:type="spellStart"/>
            <w:r w:rsidRPr="00924D4B">
              <w:rPr>
                <w:rStyle w:val="apple-style-span"/>
              </w:rPr>
              <w:t>Sovetskaya</w:t>
            </w:r>
            <w:proofErr w:type="spellEnd"/>
            <w:r w:rsidRPr="00924D4B">
              <w:rPr>
                <w:rStyle w:val="apple-style-span"/>
              </w:rPr>
              <w:t xml:space="preserve"> St., Bryansk, 241000, the Russian Federation</w:t>
            </w:r>
          </w:p>
        </w:tc>
      </w:tr>
      <w:tr w:rsidR="00265422" w:rsidRPr="00265422" w:rsidTr="007C4502">
        <w:trPr>
          <w:trHeight w:val="170"/>
          <w:jc w:val="center"/>
        </w:trPr>
        <w:tc>
          <w:tcPr>
            <w:tcW w:w="730" w:type="dxa"/>
            <w:tcMar>
              <w:top w:w="75" w:type="dxa"/>
              <w:left w:w="75" w:type="dxa"/>
              <w:bottom w:w="75" w:type="dxa"/>
              <w:right w:w="75" w:type="dxa"/>
            </w:tcMar>
            <w:vAlign w:val="center"/>
          </w:tcPr>
          <w:p w:rsidR="00265422" w:rsidRPr="00836721" w:rsidRDefault="00265422" w:rsidP="007C4502">
            <w:pPr>
              <w:spacing w:line="174" w:lineRule="atLeast"/>
              <w:ind w:firstLine="709"/>
              <w:jc w:val="center"/>
              <w:rPr>
                <w:rStyle w:val="apple-style-span"/>
                <w:lang w:val="ru-RU"/>
              </w:rPr>
            </w:pPr>
            <w:r w:rsidRPr="00836721">
              <w:rPr>
                <w:rStyle w:val="apple-style-span"/>
                <w:lang w:val="ru-RU"/>
              </w:rPr>
              <w:t>33.</w:t>
            </w:r>
          </w:p>
        </w:tc>
        <w:tc>
          <w:tcPr>
            <w:tcW w:w="4935" w:type="dxa"/>
            <w:tcMar>
              <w:top w:w="75" w:type="dxa"/>
              <w:left w:w="75" w:type="dxa"/>
              <w:bottom w:w="75" w:type="dxa"/>
              <w:right w:w="75" w:type="dxa"/>
            </w:tcMar>
            <w:vAlign w:val="center"/>
          </w:tcPr>
          <w:p w:rsidR="00265422" w:rsidRPr="00F36497" w:rsidRDefault="00265422" w:rsidP="007C4502">
            <w:pPr>
              <w:spacing w:line="174"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Voronezhenergo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 xml:space="preserve">2 </w:t>
            </w:r>
            <w:proofErr w:type="spellStart"/>
            <w:r w:rsidRPr="00924D4B">
              <w:rPr>
                <w:rStyle w:val="apple-style-span"/>
              </w:rPr>
              <w:t>Arzamasskaya</w:t>
            </w:r>
            <w:proofErr w:type="spellEnd"/>
            <w:r w:rsidRPr="00924D4B">
              <w:rPr>
                <w:rStyle w:val="apple-style-span"/>
              </w:rPr>
              <w:t xml:space="preserve"> St., Voronezh, 394033, the Russian Federation</w:t>
            </w:r>
          </w:p>
        </w:tc>
      </w:tr>
      <w:tr w:rsidR="00265422" w:rsidRPr="00265422" w:rsidTr="007C4502">
        <w:trPr>
          <w:trHeight w:val="125"/>
          <w:jc w:val="center"/>
        </w:trPr>
        <w:tc>
          <w:tcPr>
            <w:tcW w:w="730" w:type="dxa"/>
            <w:tcMar>
              <w:top w:w="75" w:type="dxa"/>
              <w:left w:w="75" w:type="dxa"/>
              <w:bottom w:w="75" w:type="dxa"/>
              <w:right w:w="75" w:type="dxa"/>
            </w:tcMar>
            <w:vAlign w:val="center"/>
          </w:tcPr>
          <w:p w:rsidR="00265422" w:rsidRPr="00836721" w:rsidRDefault="00265422" w:rsidP="007C4502">
            <w:pPr>
              <w:spacing w:line="128" w:lineRule="atLeast"/>
              <w:ind w:firstLine="709"/>
              <w:jc w:val="center"/>
              <w:rPr>
                <w:rStyle w:val="apple-style-span"/>
                <w:lang w:val="ru-RU"/>
              </w:rPr>
            </w:pPr>
            <w:r w:rsidRPr="00836721">
              <w:rPr>
                <w:rStyle w:val="apple-style-span"/>
                <w:lang w:val="ru-RU"/>
              </w:rPr>
              <w:t>44.</w:t>
            </w:r>
          </w:p>
        </w:tc>
        <w:tc>
          <w:tcPr>
            <w:tcW w:w="4935" w:type="dxa"/>
            <w:tcMar>
              <w:top w:w="75" w:type="dxa"/>
              <w:left w:w="75" w:type="dxa"/>
              <w:bottom w:w="75" w:type="dxa"/>
              <w:right w:w="75" w:type="dxa"/>
            </w:tcMar>
            <w:vAlign w:val="center"/>
          </w:tcPr>
          <w:p w:rsidR="00265422" w:rsidRPr="00F36497" w:rsidRDefault="00265422" w:rsidP="007C4502">
            <w:pPr>
              <w:spacing w:line="128"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Kostromaenergo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53 Mir Avenue, Kostroma, 156961, the Russian Federation</w:t>
            </w:r>
          </w:p>
        </w:tc>
      </w:tr>
      <w:tr w:rsidR="00265422" w:rsidRPr="00265422" w:rsidTr="007C4502">
        <w:trPr>
          <w:trHeight w:val="80"/>
          <w:jc w:val="center"/>
        </w:trPr>
        <w:tc>
          <w:tcPr>
            <w:tcW w:w="730" w:type="dxa"/>
            <w:tcMar>
              <w:top w:w="75" w:type="dxa"/>
              <w:left w:w="75" w:type="dxa"/>
              <w:bottom w:w="75" w:type="dxa"/>
              <w:right w:w="75" w:type="dxa"/>
            </w:tcMar>
            <w:vAlign w:val="center"/>
          </w:tcPr>
          <w:p w:rsidR="00265422" w:rsidRPr="00836721" w:rsidRDefault="00265422" w:rsidP="007C4502">
            <w:pPr>
              <w:spacing w:line="82" w:lineRule="atLeast"/>
              <w:ind w:firstLine="709"/>
              <w:jc w:val="center"/>
              <w:rPr>
                <w:rStyle w:val="apple-style-span"/>
                <w:lang w:val="ru-RU"/>
              </w:rPr>
            </w:pPr>
            <w:r w:rsidRPr="00836721">
              <w:rPr>
                <w:rStyle w:val="apple-style-span"/>
                <w:lang w:val="ru-RU"/>
              </w:rPr>
              <w:t>55.</w:t>
            </w:r>
          </w:p>
        </w:tc>
        <w:tc>
          <w:tcPr>
            <w:tcW w:w="4935" w:type="dxa"/>
            <w:tcMar>
              <w:top w:w="75" w:type="dxa"/>
              <w:left w:w="75" w:type="dxa"/>
              <w:bottom w:w="75" w:type="dxa"/>
              <w:right w:w="75" w:type="dxa"/>
            </w:tcMar>
            <w:vAlign w:val="center"/>
          </w:tcPr>
          <w:p w:rsidR="00265422" w:rsidRPr="00F36497" w:rsidRDefault="00265422" w:rsidP="007C4502">
            <w:pPr>
              <w:spacing w:line="82"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Kurskenergo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27 K. Marx St., Kursk, 305029, the Russian Federation</w:t>
            </w:r>
          </w:p>
        </w:tc>
      </w:tr>
      <w:tr w:rsidR="00265422" w:rsidRPr="00265422" w:rsidTr="007C4502">
        <w:trPr>
          <w:trHeight w:val="85"/>
          <w:jc w:val="center"/>
        </w:trPr>
        <w:tc>
          <w:tcPr>
            <w:tcW w:w="730" w:type="dxa"/>
            <w:tcMar>
              <w:top w:w="75" w:type="dxa"/>
              <w:left w:w="75" w:type="dxa"/>
              <w:bottom w:w="75" w:type="dxa"/>
              <w:right w:w="75" w:type="dxa"/>
            </w:tcMar>
            <w:vAlign w:val="center"/>
          </w:tcPr>
          <w:p w:rsidR="00265422" w:rsidRPr="00836721" w:rsidRDefault="00265422" w:rsidP="007C4502">
            <w:pPr>
              <w:spacing w:line="87" w:lineRule="atLeast"/>
              <w:ind w:firstLine="709"/>
              <w:jc w:val="center"/>
              <w:rPr>
                <w:rStyle w:val="apple-style-span"/>
                <w:lang w:val="ru-RU"/>
              </w:rPr>
            </w:pPr>
            <w:r w:rsidRPr="00836721">
              <w:rPr>
                <w:rStyle w:val="apple-style-span"/>
                <w:lang w:val="ru-RU"/>
              </w:rPr>
              <w:t>66.</w:t>
            </w:r>
          </w:p>
        </w:tc>
        <w:tc>
          <w:tcPr>
            <w:tcW w:w="4935" w:type="dxa"/>
            <w:tcMar>
              <w:top w:w="75" w:type="dxa"/>
              <w:left w:w="75" w:type="dxa"/>
              <w:bottom w:w="75" w:type="dxa"/>
              <w:right w:w="75" w:type="dxa"/>
            </w:tcMar>
            <w:vAlign w:val="center"/>
          </w:tcPr>
          <w:p w:rsidR="00265422" w:rsidRPr="00F36497" w:rsidRDefault="00265422" w:rsidP="007C4502">
            <w:pPr>
              <w:spacing w:line="87"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Lipetskenergo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33 50 let NLMK St., Lipetsk, 398001, the Russian Federation</w:t>
            </w:r>
          </w:p>
        </w:tc>
      </w:tr>
      <w:tr w:rsidR="00265422" w:rsidRPr="00265422" w:rsidTr="007C4502">
        <w:trPr>
          <w:trHeight w:val="54"/>
          <w:jc w:val="center"/>
        </w:trPr>
        <w:tc>
          <w:tcPr>
            <w:tcW w:w="730" w:type="dxa"/>
            <w:tcMar>
              <w:top w:w="75" w:type="dxa"/>
              <w:left w:w="75" w:type="dxa"/>
              <w:bottom w:w="75" w:type="dxa"/>
              <w:right w:w="75" w:type="dxa"/>
            </w:tcMar>
            <w:vAlign w:val="center"/>
          </w:tcPr>
          <w:p w:rsidR="00265422" w:rsidRPr="00836721" w:rsidRDefault="00265422" w:rsidP="007C4502">
            <w:pPr>
              <w:spacing w:line="55" w:lineRule="atLeast"/>
              <w:ind w:firstLine="709"/>
              <w:jc w:val="center"/>
              <w:rPr>
                <w:rStyle w:val="apple-style-span"/>
                <w:lang w:val="ru-RU"/>
              </w:rPr>
            </w:pPr>
            <w:r w:rsidRPr="00836721">
              <w:rPr>
                <w:rStyle w:val="apple-style-span"/>
                <w:lang w:val="ru-RU"/>
              </w:rPr>
              <w:t>77.</w:t>
            </w:r>
          </w:p>
        </w:tc>
        <w:tc>
          <w:tcPr>
            <w:tcW w:w="4935" w:type="dxa"/>
            <w:tcMar>
              <w:top w:w="75" w:type="dxa"/>
              <w:left w:w="75" w:type="dxa"/>
              <w:bottom w:w="75" w:type="dxa"/>
              <w:right w:w="75" w:type="dxa"/>
            </w:tcMar>
            <w:vAlign w:val="center"/>
          </w:tcPr>
          <w:p w:rsidR="00265422" w:rsidRPr="00F36497" w:rsidRDefault="00265422" w:rsidP="007C4502">
            <w:pPr>
              <w:spacing w:line="55"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Orelenergo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2 Mir Square, Orel, 302030, the Russian Federation</w:t>
            </w:r>
          </w:p>
        </w:tc>
      </w:tr>
      <w:tr w:rsidR="00265422" w:rsidRPr="00265422" w:rsidTr="007C4502">
        <w:trPr>
          <w:trHeight w:val="185"/>
          <w:jc w:val="center"/>
        </w:trPr>
        <w:tc>
          <w:tcPr>
            <w:tcW w:w="730" w:type="dxa"/>
            <w:tcMar>
              <w:top w:w="75" w:type="dxa"/>
              <w:left w:w="75" w:type="dxa"/>
              <w:bottom w:w="75" w:type="dxa"/>
              <w:right w:w="75" w:type="dxa"/>
            </w:tcMar>
            <w:vAlign w:val="center"/>
          </w:tcPr>
          <w:p w:rsidR="00265422" w:rsidRPr="00836721" w:rsidRDefault="00265422" w:rsidP="007C4502">
            <w:pPr>
              <w:spacing w:line="189" w:lineRule="atLeast"/>
              <w:ind w:firstLine="709"/>
              <w:jc w:val="center"/>
              <w:rPr>
                <w:rStyle w:val="apple-style-span"/>
                <w:lang w:val="ru-RU"/>
              </w:rPr>
            </w:pPr>
            <w:r w:rsidRPr="00836721">
              <w:rPr>
                <w:rStyle w:val="apple-style-span"/>
                <w:lang w:val="ru-RU"/>
              </w:rPr>
              <w:t>88.</w:t>
            </w:r>
          </w:p>
        </w:tc>
        <w:tc>
          <w:tcPr>
            <w:tcW w:w="4935" w:type="dxa"/>
            <w:tcMar>
              <w:top w:w="75" w:type="dxa"/>
              <w:left w:w="75" w:type="dxa"/>
              <w:bottom w:w="75" w:type="dxa"/>
              <w:right w:w="75" w:type="dxa"/>
            </w:tcMar>
            <w:vAlign w:val="center"/>
          </w:tcPr>
          <w:p w:rsidR="00265422" w:rsidRPr="00F36497" w:rsidRDefault="00265422" w:rsidP="007C4502">
            <w:pPr>
              <w:spacing w:line="189"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Tambovenergo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 xml:space="preserve">23 </w:t>
            </w:r>
            <w:proofErr w:type="spellStart"/>
            <w:r w:rsidRPr="00924D4B">
              <w:rPr>
                <w:rStyle w:val="apple-style-span"/>
              </w:rPr>
              <w:t>Morshanskoe</w:t>
            </w:r>
            <w:proofErr w:type="spellEnd"/>
            <w:r w:rsidRPr="00924D4B">
              <w:rPr>
                <w:rStyle w:val="apple-style-span"/>
              </w:rPr>
              <w:t xml:space="preserve"> </w:t>
            </w:r>
            <w:proofErr w:type="spellStart"/>
            <w:r w:rsidRPr="00924D4B">
              <w:rPr>
                <w:rStyle w:val="apple-style-span"/>
              </w:rPr>
              <w:t>shosse</w:t>
            </w:r>
            <w:proofErr w:type="spellEnd"/>
            <w:r w:rsidRPr="00924D4B">
              <w:rPr>
                <w:rStyle w:val="apple-style-span"/>
              </w:rPr>
              <w:t>, Tambov, 392680, the Russian Federation</w:t>
            </w:r>
          </w:p>
        </w:tc>
      </w:tr>
      <w:tr w:rsidR="00265422" w:rsidRPr="00265422" w:rsidTr="007C4502">
        <w:trPr>
          <w:trHeight w:val="139"/>
          <w:jc w:val="center"/>
        </w:trPr>
        <w:tc>
          <w:tcPr>
            <w:tcW w:w="730" w:type="dxa"/>
            <w:tcMar>
              <w:top w:w="75" w:type="dxa"/>
              <w:left w:w="75" w:type="dxa"/>
              <w:bottom w:w="75" w:type="dxa"/>
              <w:right w:w="75" w:type="dxa"/>
            </w:tcMar>
            <w:vAlign w:val="center"/>
          </w:tcPr>
          <w:p w:rsidR="00265422" w:rsidRPr="00836721" w:rsidRDefault="00265422" w:rsidP="007C4502">
            <w:pPr>
              <w:spacing w:line="142" w:lineRule="atLeast"/>
              <w:ind w:firstLine="709"/>
              <w:jc w:val="center"/>
              <w:rPr>
                <w:rStyle w:val="apple-style-span"/>
                <w:lang w:val="ru-RU"/>
              </w:rPr>
            </w:pPr>
            <w:r w:rsidRPr="00836721">
              <w:rPr>
                <w:rStyle w:val="apple-style-span"/>
                <w:lang w:val="ru-RU"/>
              </w:rPr>
              <w:t>99.</w:t>
            </w:r>
          </w:p>
        </w:tc>
        <w:tc>
          <w:tcPr>
            <w:tcW w:w="4935" w:type="dxa"/>
            <w:tcMar>
              <w:top w:w="75" w:type="dxa"/>
              <w:left w:w="75" w:type="dxa"/>
              <w:bottom w:w="75" w:type="dxa"/>
              <w:right w:w="75" w:type="dxa"/>
            </w:tcMar>
            <w:vAlign w:val="center"/>
          </w:tcPr>
          <w:p w:rsidR="00265422" w:rsidRPr="00F36497" w:rsidRDefault="00265422" w:rsidP="007C4502">
            <w:pPr>
              <w:spacing w:line="142"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Smolenskenergo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 xml:space="preserve">33 </w:t>
            </w:r>
            <w:proofErr w:type="spellStart"/>
            <w:r w:rsidRPr="00924D4B">
              <w:rPr>
                <w:rStyle w:val="apple-style-span"/>
              </w:rPr>
              <w:t>Tenisheva</w:t>
            </w:r>
            <w:proofErr w:type="spellEnd"/>
            <w:r w:rsidRPr="00924D4B">
              <w:rPr>
                <w:rStyle w:val="apple-style-span"/>
              </w:rPr>
              <w:t xml:space="preserve"> St., Smolensk, 214019, the Russian Federation</w:t>
            </w:r>
          </w:p>
        </w:tc>
      </w:tr>
      <w:tr w:rsidR="00265422" w:rsidRPr="00265422" w:rsidTr="007C4502">
        <w:trPr>
          <w:trHeight w:val="139"/>
          <w:jc w:val="center"/>
        </w:trPr>
        <w:tc>
          <w:tcPr>
            <w:tcW w:w="730" w:type="dxa"/>
            <w:tcMar>
              <w:top w:w="75" w:type="dxa"/>
              <w:left w:w="75" w:type="dxa"/>
              <w:bottom w:w="75" w:type="dxa"/>
              <w:right w:w="75" w:type="dxa"/>
            </w:tcMar>
            <w:vAlign w:val="center"/>
          </w:tcPr>
          <w:p w:rsidR="00265422" w:rsidRPr="00836721" w:rsidRDefault="00265422" w:rsidP="007C4502">
            <w:pPr>
              <w:spacing w:line="142" w:lineRule="atLeast"/>
              <w:ind w:firstLine="709"/>
              <w:jc w:val="center"/>
              <w:rPr>
                <w:rStyle w:val="apple-style-span"/>
                <w:lang w:val="ru-RU"/>
              </w:rPr>
            </w:pPr>
            <w:r w:rsidRPr="00836721">
              <w:rPr>
                <w:rStyle w:val="apple-style-span"/>
                <w:lang w:val="ru-RU"/>
              </w:rPr>
              <w:t>110.</w:t>
            </w:r>
          </w:p>
        </w:tc>
        <w:tc>
          <w:tcPr>
            <w:tcW w:w="4935" w:type="dxa"/>
            <w:tcMar>
              <w:top w:w="75" w:type="dxa"/>
              <w:left w:w="75" w:type="dxa"/>
              <w:bottom w:w="75" w:type="dxa"/>
              <w:right w:w="75" w:type="dxa"/>
            </w:tcMar>
            <w:vAlign w:val="center"/>
          </w:tcPr>
          <w:p w:rsidR="00265422" w:rsidRPr="00F36497" w:rsidRDefault="00265422" w:rsidP="007C4502">
            <w:pPr>
              <w:spacing w:line="142"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Tverenergo</w:t>
            </w:r>
            <w:proofErr w:type="spellEnd"/>
            <w:r w:rsidRPr="00F36497">
              <w:rPr>
                <w:rStyle w:val="apple-style-span"/>
                <w:lang w:val="en-US"/>
              </w:rPr>
              <w:t>”</w:t>
            </w:r>
          </w:p>
        </w:tc>
        <w:tc>
          <w:tcPr>
            <w:tcW w:w="3540" w:type="dxa"/>
            <w:tcMar>
              <w:top w:w="75" w:type="dxa"/>
              <w:left w:w="75" w:type="dxa"/>
              <w:bottom w:w="75" w:type="dxa"/>
              <w:right w:w="75" w:type="dxa"/>
            </w:tcMar>
          </w:tcPr>
          <w:p w:rsidR="00265422" w:rsidRPr="00924D4B" w:rsidRDefault="00265422" w:rsidP="007C4502">
            <w:pPr>
              <w:spacing w:line="142" w:lineRule="atLeast"/>
              <w:rPr>
                <w:rStyle w:val="apple-style-span"/>
              </w:rPr>
            </w:pPr>
            <w:r w:rsidRPr="00924D4B">
              <w:rPr>
                <w:rStyle w:val="apple-style-span"/>
              </w:rPr>
              <w:t xml:space="preserve">1 Bebel St., </w:t>
            </w:r>
            <w:proofErr w:type="spellStart"/>
            <w:r w:rsidRPr="00924D4B">
              <w:rPr>
                <w:rStyle w:val="apple-style-span"/>
              </w:rPr>
              <w:t>Tver</w:t>
            </w:r>
            <w:proofErr w:type="spellEnd"/>
            <w:r w:rsidRPr="00924D4B">
              <w:rPr>
                <w:rStyle w:val="apple-style-span"/>
              </w:rPr>
              <w:t>, 170006, the Russian Federation</w:t>
            </w:r>
          </w:p>
        </w:tc>
      </w:tr>
      <w:tr w:rsidR="00265422" w:rsidRPr="00265422" w:rsidTr="003E776E">
        <w:trPr>
          <w:trHeight w:val="139"/>
          <w:jc w:val="center"/>
        </w:trPr>
        <w:tc>
          <w:tcPr>
            <w:tcW w:w="730" w:type="dxa"/>
            <w:tcMar>
              <w:top w:w="75" w:type="dxa"/>
              <w:left w:w="75" w:type="dxa"/>
              <w:bottom w:w="75" w:type="dxa"/>
              <w:right w:w="75" w:type="dxa"/>
            </w:tcMar>
            <w:vAlign w:val="center"/>
          </w:tcPr>
          <w:p w:rsidR="00265422" w:rsidRPr="00836721" w:rsidRDefault="00265422" w:rsidP="007C4502">
            <w:pPr>
              <w:spacing w:line="142" w:lineRule="atLeast"/>
              <w:ind w:firstLine="709"/>
              <w:jc w:val="center"/>
              <w:rPr>
                <w:rStyle w:val="apple-style-span"/>
                <w:lang w:val="ru-RU"/>
              </w:rPr>
            </w:pPr>
            <w:r w:rsidRPr="00836721">
              <w:rPr>
                <w:rStyle w:val="apple-style-span"/>
                <w:lang w:val="ru-RU"/>
              </w:rPr>
              <w:t>111.</w:t>
            </w:r>
          </w:p>
        </w:tc>
        <w:tc>
          <w:tcPr>
            <w:tcW w:w="4935" w:type="dxa"/>
            <w:tcMar>
              <w:top w:w="75" w:type="dxa"/>
              <w:left w:w="75" w:type="dxa"/>
              <w:bottom w:w="75" w:type="dxa"/>
              <w:right w:w="75" w:type="dxa"/>
            </w:tcMar>
            <w:vAlign w:val="center"/>
          </w:tcPr>
          <w:p w:rsidR="00265422" w:rsidRPr="00F36497" w:rsidRDefault="00265422" w:rsidP="007C4502">
            <w:pPr>
              <w:spacing w:line="142" w:lineRule="atLeast"/>
              <w:ind w:firstLine="709"/>
              <w:rPr>
                <w:rStyle w:val="apple-style-span"/>
                <w:lang w:val="en-US"/>
              </w:rPr>
            </w:pPr>
            <w:r w:rsidRPr="00F36497">
              <w:rPr>
                <w:rStyle w:val="apple-style-span"/>
                <w:lang w:val="en-US"/>
              </w:rPr>
              <w:t> Division of IDGC of Centre, JSC – “</w:t>
            </w:r>
            <w:proofErr w:type="spellStart"/>
            <w:r w:rsidRPr="00F36497">
              <w:rPr>
                <w:rStyle w:val="apple-style-span"/>
                <w:lang w:val="en-US"/>
              </w:rPr>
              <w:t>Yarenergo</w:t>
            </w:r>
            <w:proofErr w:type="spellEnd"/>
            <w:r w:rsidRPr="00F36497">
              <w:rPr>
                <w:rStyle w:val="apple-style-span"/>
                <w:lang w:val="en-US"/>
              </w:rPr>
              <w:t>”</w:t>
            </w:r>
          </w:p>
        </w:tc>
        <w:tc>
          <w:tcPr>
            <w:tcW w:w="3540" w:type="dxa"/>
            <w:tcMar>
              <w:top w:w="75" w:type="dxa"/>
              <w:left w:w="75" w:type="dxa"/>
              <w:bottom w:w="75" w:type="dxa"/>
              <w:right w:w="75" w:type="dxa"/>
            </w:tcMar>
            <w:vAlign w:val="center"/>
          </w:tcPr>
          <w:p w:rsidR="00265422" w:rsidRPr="00924D4B" w:rsidRDefault="00265422" w:rsidP="007C4502">
            <w:pPr>
              <w:spacing w:line="142" w:lineRule="atLeast"/>
              <w:rPr>
                <w:rStyle w:val="apple-style-span"/>
              </w:rPr>
            </w:pPr>
            <w:r w:rsidRPr="00924D4B">
              <w:rPr>
                <w:rStyle w:val="apple-style-span"/>
              </w:rPr>
              <w:t xml:space="preserve">12 </w:t>
            </w:r>
            <w:proofErr w:type="spellStart"/>
            <w:r w:rsidRPr="00924D4B">
              <w:rPr>
                <w:rStyle w:val="apple-style-span"/>
              </w:rPr>
              <w:t>Voinov</w:t>
            </w:r>
            <w:proofErr w:type="spellEnd"/>
            <w:r w:rsidRPr="00924D4B">
              <w:rPr>
                <w:rStyle w:val="apple-style-span"/>
              </w:rPr>
              <w:t xml:space="preserve"> St., Yaroslavl, 150003, the Russian Federation</w:t>
            </w:r>
          </w:p>
        </w:tc>
      </w:tr>
    </w:tbl>
    <w:p w:rsidR="00B707B0" w:rsidRPr="00265422" w:rsidRDefault="00B707B0" w:rsidP="00B707B0">
      <w:pPr>
        <w:pStyle w:val="ab"/>
        <w:tabs>
          <w:tab w:val="left" w:pos="284"/>
          <w:tab w:val="left" w:pos="426"/>
          <w:tab w:val="left" w:pos="851"/>
        </w:tabs>
        <w:ind w:left="709"/>
        <w:jc w:val="both"/>
        <w:rPr>
          <w:rFonts w:ascii="13" w:hAnsi="13"/>
          <w:sz w:val="22"/>
          <w:szCs w:val="22"/>
          <w:lang w:val="en-US"/>
        </w:rPr>
      </w:pPr>
    </w:p>
    <w:p w:rsidR="002A13DD" w:rsidRPr="00265422" w:rsidRDefault="002A13DD" w:rsidP="00B707B0">
      <w:pPr>
        <w:pStyle w:val="ab"/>
        <w:tabs>
          <w:tab w:val="left" w:pos="284"/>
          <w:tab w:val="left" w:pos="426"/>
          <w:tab w:val="left" w:pos="851"/>
        </w:tabs>
        <w:ind w:left="709"/>
        <w:jc w:val="both"/>
        <w:rPr>
          <w:rFonts w:ascii="13" w:hAnsi="13"/>
          <w:sz w:val="22"/>
          <w:szCs w:val="22"/>
          <w:lang w:val="en-US"/>
        </w:rPr>
      </w:pPr>
    </w:p>
    <w:p w:rsidR="00526EC9" w:rsidRPr="00281959" w:rsidRDefault="00281959" w:rsidP="00CC223A">
      <w:pPr>
        <w:pStyle w:val="ab"/>
        <w:tabs>
          <w:tab w:val="left" w:pos="284"/>
          <w:tab w:val="left" w:pos="426"/>
          <w:tab w:val="left" w:pos="851"/>
        </w:tabs>
        <w:ind w:left="0" w:firstLine="709"/>
        <w:jc w:val="both"/>
        <w:rPr>
          <w:sz w:val="24"/>
          <w:szCs w:val="24"/>
          <w:lang w:val="en-US"/>
        </w:rPr>
      </w:pPr>
      <w:r w:rsidRPr="00281959">
        <w:rPr>
          <w:bCs/>
          <w:sz w:val="24"/>
          <w:szCs w:val="24"/>
          <w:lang w:val="en-US"/>
        </w:rPr>
        <w:t xml:space="preserve">Average number of employees of IDGC of Centre in </w:t>
      </w:r>
      <w:r w:rsidR="00226A22" w:rsidRPr="00281959">
        <w:rPr>
          <w:sz w:val="24"/>
          <w:szCs w:val="24"/>
          <w:lang w:val="en-US"/>
        </w:rPr>
        <w:t>201</w:t>
      </w:r>
      <w:r w:rsidR="001A0D78" w:rsidRPr="00281959">
        <w:rPr>
          <w:sz w:val="24"/>
          <w:szCs w:val="24"/>
          <w:lang w:val="en-US"/>
        </w:rPr>
        <w:t>4</w:t>
      </w:r>
      <w:r w:rsidR="00226A22" w:rsidRPr="00281959">
        <w:rPr>
          <w:sz w:val="24"/>
          <w:szCs w:val="24"/>
          <w:lang w:val="en-US"/>
        </w:rPr>
        <w:t xml:space="preserve"> </w:t>
      </w:r>
      <w:r w:rsidRPr="00281959">
        <w:rPr>
          <w:sz w:val="24"/>
          <w:szCs w:val="24"/>
          <w:lang w:val="en-US"/>
        </w:rPr>
        <w:t xml:space="preserve">was </w:t>
      </w:r>
      <w:r w:rsidR="00C513E5" w:rsidRPr="00281959">
        <w:rPr>
          <w:sz w:val="24"/>
          <w:szCs w:val="24"/>
          <w:lang w:val="en-US"/>
        </w:rPr>
        <w:t>29 905</w:t>
      </w:r>
      <w:r w:rsidR="00226A22" w:rsidRPr="00281959">
        <w:rPr>
          <w:sz w:val="24"/>
          <w:szCs w:val="24"/>
          <w:lang w:val="en-US"/>
        </w:rPr>
        <w:t xml:space="preserve"> </w:t>
      </w:r>
      <w:r>
        <w:rPr>
          <w:sz w:val="24"/>
          <w:szCs w:val="24"/>
          <w:lang w:val="en-US"/>
        </w:rPr>
        <w:t>people</w:t>
      </w:r>
      <w:r w:rsidR="00226A22" w:rsidRPr="00281959">
        <w:rPr>
          <w:sz w:val="24"/>
          <w:szCs w:val="24"/>
          <w:lang w:val="en-US"/>
        </w:rPr>
        <w:t>.</w:t>
      </w:r>
    </w:p>
    <w:p w:rsidR="00226A22" w:rsidRPr="00281959" w:rsidRDefault="00281959" w:rsidP="00DF723E">
      <w:pPr>
        <w:tabs>
          <w:tab w:val="left" w:pos="426"/>
          <w:tab w:val="left" w:pos="851"/>
        </w:tabs>
        <w:ind w:firstLine="709"/>
        <w:jc w:val="both"/>
        <w:rPr>
          <w:sz w:val="24"/>
          <w:szCs w:val="24"/>
          <w:lang w:val="en-US"/>
        </w:rPr>
      </w:pPr>
      <w:r w:rsidRPr="00281959">
        <w:rPr>
          <w:sz w:val="24"/>
          <w:szCs w:val="24"/>
          <w:lang w:val="en-US"/>
        </w:rPr>
        <w:t xml:space="preserve">Average staffing number of IDGC of Centre in </w:t>
      </w:r>
      <w:r w:rsidR="00526EC9" w:rsidRPr="00281959">
        <w:rPr>
          <w:sz w:val="24"/>
          <w:szCs w:val="24"/>
          <w:lang w:val="en-US"/>
        </w:rPr>
        <w:t>201</w:t>
      </w:r>
      <w:r w:rsidR="001A0D78" w:rsidRPr="00281959">
        <w:rPr>
          <w:sz w:val="24"/>
          <w:szCs w:val="24"/>
          <w:lang w:val="en-US"/>
        </w:rPr>
        <w:t>4</w:t>
      </w:r>
      <w:r w:rsidR="00C65674" w:rsidRPr="00281959">
        <w:rPr>
          <w:sz w:val="24"/>
          <w:szCs w:val="24"/>
          <w:lang w:val="en-US"/>
        </w:rPr>
        <w:t xml:space="preserve"> </w:t>
      </w:r>
      <w:r w:rsidRPr="00281959">
        <w:rPr>
          <w:sz w:val="24"/>
          <w:szCs w:val="24"/>
          <w:lang w:val="en-US"/>
        </w:rPr>
        <w:t xml:space="preserve">was </w:t>
      </w:r>
      <w:r w:rsidR="00C513E5" w:rsidRPr="00281959">
        <w:rPr>
          <w:sz w:val="24"/>
          <w:szCs w:val="24"/>
          <w:lang w:val="en-US"/>
        </w:rPr>
        <w:t>29</w:t>
      </w:r>
      <w:r>
        <w:rPr>
          <w:sz w:val="24"/>
          <w:szCs w:val="24"/>
          <w:lang w:val="en-US"/>
        </w:rPr>
        <w:t> </w:t>
      </w:r>
      <w:r w:rsidR="00C513E5" w:rsidRPr="00281959">
        <w:rPr>
          <w:sz w:val="24"/>
          <w:szCs w:val="24"/>
          <w:lang w:val="en-US"/>
        </w:rPr>
        <w:t>657</w:t>
      </w:r>
      <w:r w:rsidR="001A0922" w:rsidRPr="00281959">
        <w:rPr>
          <w:sz w:val="24"/>
          <w:szCs w:val="24"/>
          <w:lang w:val="en-US"/>
        </w:rPr>
        <w:t xml:space="preserve"> </w:t>
      </w:r>
      <w:r>
        <w:rPr>
          <w:sz w:val="24"/>
          <w:szCs w:val="24"/>
          <w:lang w:val="en-US"/>
        </w:rPr>
        <w:t>people</w:t>
      </w:r>
      <w:r w:rsidR="00526EC9" w:rsidRPr="00281959">
        <w:rPr>
          <w:sz w:val="24"/>
          <w:szCs w:val="24"/>
          <w:lang w:val="en-US"/>
        </w:rPr>
        <w:t>.</w:t>
      </w:r>
    </w:p>
    <w:p w:rsidR="00FB7AEE" w:rsidRPr="00281959" w:rsidRDefault="00FB7AEE" w:rsidP="00DF723E">
      <w:pPr>
        <w:ind w:firstLine="709"/>
        <w:jc w:val="both"/>
        <w:rPr>
          <w:sz w:val="24"/>
          <w:szCs w:val="24"/>
          <w:lang w:val="en-US"/>
        </w:rPr>
      </w:pPr>
    </w:p>
    <w:p w:rsidR="00CC2C6B" w:rsidRPr="00CC2C6B" w:rsidRDefault="00CC2C6B" w:rsidP="00CC2C6B">
      <w:pPr>
        <w:ind w:firstLine="709"/>
        <w:jc w:val="both"/>
        <w:rPr>
          <w:rFonts w:ascii="13" w:hAnsi="13"/>
          <w:bCs/>
          <w:sz w:val="24"/>
          <w:szCs w:val="24"/>
          <w:lang w:val="en-US"/>
        </w:rPr>
      </w:pPr>
      <w:r w:rsidRPr="00CC2C6B">
        <w:rPr>
          <w:rFonts w:ascii="13" w:hAnsi="13"/>
          <w:bCs/>
          <w:sz w:val="24"/>
          <w:szCs w:val="24"/>
          <w:lang w:val="en-US"/>
        </w:rPr>
        <w:t>Management bodies of the Company:</w:t>
      </w:r>
    </w:p>
    <w:p w:rsidR="00CC2C6B" w:rsidRPr="00CC2C6B" w:rsidRDefault="00CC2C6B" w:rsidP="00CC2C6B">
      <w:pPr>
        <w:ind w:firstLine="709"/>
        <w:jc w:val="both"/>
        <w:rPr>
          <w:rFonts w:ascii="13" w:hAnsi="13"/>
          <w:bCs/>
          <w:sz w:val="24"/>
          <w:szCs w:val="24"/>
          <w:lang w:val="en-US"/>
        </w:rPr>
      </w:pPr>
    </w:p>
    <w:p w:rsidR="00CC2C6B" w:rsidRPr="00CC2C6B" w:rsidRDefault="00CC2C6B" w:rsidP="00CC2C6B">
      <w:pPr>
        <w:numPr>
          <w:ilvl w:val="0"/>
          <w:numId w:val="1"/>
        </w:numPr>
        <w:ind w:firstLine="709"/>
        <w:jc w:val="both"/>
        <w:rPr>
          <w:rFonts w:ascii="13" w:hAnsi="13"/>
          <w:sz w:val="24"/>
          <w:szCs w:val="24"/>
          <w:lang w:val="ru-RU"/>
        </w:rPr>
      </w:pPr>
      <w:proofErr w:type="spellStart"/>
      <w:r w:rsidRPr="00CC2C6B">
        <w:rPr>
          <w:rFonts w:ascii="13" w:hAnsi="13"/>
          <w:sz w:val="24"/>
          <w:szCs w:val="24"/>
          <w:lang w:val="ru-RU"/>
        </w:rPr>
        <w:t>General</w:t>
      </w:r>
      <w:proofErr w:type="spellEnd"/>
      <w:r w:rsidRPr="00CC2C6B">
        <w:rPr>
          <w:rFonts w:ascii="13" w:hAnsi="13"/>
          <w:sz w:val="24"/>
          <w:szCs w:val="24"/>
          <w:lang w:val="ru-RU"/>
        </w:rPr>
        <w:t xml:space="preserve"> </w:t>
      </w:r>
      <w:proofErr w:type="spellStart"/>
      <w:r w:rsidRPr="00CC2C6B">
        <w:rPr>
          <w:rFonts w:ascii="13" w:hAnsi="13"/>
          <w:sz w:val="24"/>
          <w:szCs w:val="24"/>
          <w:lang w:val="ru-RU"/>
        </w:rPr>
        <w:t>Meeting</w:t>
      </w:r>
      <w:proofErr w:type="spellEnd"/>
      <w:r w:rsidRPr="00CC2C6B">
        <w:rPr>
          <w:rFonts w:ascii="13" w:hAnsi="13"/>
          <w:sz w:val="24"/>
          <w:szCs w:val="24"/>
          <w:lang w:val="ru-RU"/>
        </w:rPr>
        <w:t xml:space="preserve"> </w:t>
      </w:r>
      <w:proofErr w:type="spellStart"/>
      <w:r w:rsidRPr="00CC2C6B">
        <w:rPr>
          <w:rFonts w:ascii="13" w:hAnsi="13"/>
          <w:sz w:val="24"/>
          <w:szCs w:val="24"/>
          <w:lang w:val="ru-RU"/>
        </w:rPr>
        <w:t>of</w:t>
      </w:r>
      <w:proofErr w:type="spellEnd"/>
      <w:r w:rsidRPr="00CC2C6B">
        <w:rPr>
          <w:rFonts w:ascii="13" w:hAnsi="13"/>
          <w:sz w:val="24"/>
          <w:szCs w:val="24"/>
          <w:lang w:val="ru-RU"/>
        </w:rPr>
        <w:t xml:space="preserve"> </w:t>
      </w:r>
      <w:proofErr w:type="spellStart"/>
      <w:r w:rsidRPr="00CC2C6B">
        <w:rPr>
          <w:rFonts w:ascii="13" w:hAnsi="13"/>
          <w:sz w:val="24"/>
          <w:szCs w:val="24"/>
          <w:lang w:val="ru-RU"/>
        </w:rPr>
        <w:t>Share</w:t>
      </w:r>
      <w:proofErr w:type="spellEnd"/>
      <w:r w:rsidRPr="00CC2C6B">
        <w:rPr>
          <w:rFonts w:ascii="13" w:hAnsi="13"/>
          <w:sz w:val="24"/>
          <w:szCs w:val="24"/>
          <w:lang w:val="en-US"/>
        </w:rPr>
        <w:t>holders</w:t>
      </w:r>
      <w:r w:rsidRPr="00CC2C6B">
        <w:rPr>
          <w:rFonts w:ascii="13" w:hAnsi="13"/>
          <w:sz w:val="24"/>
          <w:szCs w:val="24"/>
          <w:lang w:val="ru-RU"/>
        </w:rPr>
        <w:t xml:space="preserve"> </w:t>
      </w:r>
    </w:p>
    <w:p w:rsidR="00CC2C6B" w:rsidRPr="00CC2C6B" w:rsidRDefault="00CC2C6B" w:rsidP="00CC2C6B">
      <w:pPr>
        <w:numPr>
          <w:ilvl w:val="0"/>
          <w:numId w:val="1"/>
        </w:numPr>
        <w:ind w:firstLine="709"/>
        <w:jc w:val="both"/>
        <w:rPr>
          <w:rFonts w:ascii="13" w:hAnsi="13"/>
          <w:sz w:val="24"/>
          <w:szCs w:val="24"/>
          <w:lang w:val="ru-RU"/>
        </w:rPr>
      </w:pPr>
      <w:proofErr w:type="spellStart"/>
      <w:r w:rsidRPr="00CC2C6B">
        <w:rPr>
          <w:rFonts w:ascii="13" w:hAnsi="13"/>
          <w:sz w:val="24"/>
          <w:szCs w:val="24"/>
          <w:lang w:val="ru-RU"/>
        </w:rPr>
        <w:t>Board</w:t>
      </w:r>
      <w:proofErr w:type="spellEnd"/>
      <w:r w:rsidRPr="00CC2C6B">
        <w:rPr>
          <w:rFonts w:ascii="13" w:hAnsi="13"/>
          <w:sz w:val="24"/>
          <w:szCs w:val="24"/>
          <w:lang w:val="ru-RU"/>
        </w:rPr>
        <w:t xml:space="preserve"> </w:t>
      </w:r>
      <w:proofErr w:type="spellStart"/>
      <w:r w:rsidRPr="00CC2C6B">
        <w:rPr>
          <w:rFonts w:ascii="13" w:hAnsi="13"/>
          <w:sz w:val="24"/>
          <w:szCs w:val="24"/>
          <w:lang w:val="ru-RU"/>
        </w:rPr>
        <w:t>of</w:t>
      </w:r>
      <w:proofErr w:type="spellEnd"/>
      <w:r w:rsidRPr="00CC2C6B">
        <w:rPr>
          <w:rFonts w:ascii="13" w:hAnsi="13"/>
          <w:sz w:val="24"/>
          <w:szCs w:val="24"/>
          <w:lang w:val="ru-RU"/>
        </w:rPr>
        <w:t xml:space="preserve"> </w:t>
      </w:r>
      <w:proofErr w:type="spellStart"/>
      <w:r w:rsidRPr="00CC2C6B">
        <w:rPr>
          <w:rFonts w:ascii="13" w:hAnsi="13"/>
          <w:sz w:val="24"/>
          <w:szCs w:val="24"/>
          <w:lang w:val="ru-RU"/>
        </w:rPr>
        <w:t>Directors</w:t>
      </w:r>
      <w:proofErr w:type="spellEnd"/>
      <w:r w:rsidRPr="00CC2C6B">
        <w:rPr>
          <w:rFonts w:ascii="13" w:hAnsi="13"/>
          <w:sz w:val="24"/>
          <w:szCs w:val="24"/>
          <w:lang w:val="ru-RU"/>
        </w:rPr>
        <w:t xml:space="preserve"> </w:t>
      </w:r>
    </w:p>
    <w:p w:rsidR="00CC2C6B" w:rsidRPr="00CC2C6B" w:rsidRDefault="00CC2C6B" w:rsidP="00CC2C6B">
      <w:pPr>
        <w:numPr>
          <w:ilvl w:val="0"/>
          <w:numId w:val="1"/>
        </w:numPr>
        <w:ind w:firstLine="709"/>
        <w:jc w:val="both"/>
        <w:rPr>
          <w:rFonts w:ascii="13" w:hAnsi="13"/>
          <w:sz w:val="24"/>
          <w:szCs w:val="24"/>
          <w:lang w:val="ru-RU"/>
        </w:rPr>
      </w:pPr>
      <w:proofErr w:type="spellStart"/>
      <w:r w:rsidRPr="00CC2C6B">
        <w:rPr>
          <w:rFonts w:ascii="13" w:hAnsi="13"/>
          <w:sz w:val="24"/>
          <w:szCs w:val="24"/>
          <w:lang w:val="ru-RU"/>
        </w:rPr>
        <w:t>Management</w:t>
      </w:r>
      <w:proofErr w:type="spellEnd"/>
      <w:r w:rsidRPr="00CC2C6B">
        <w:rPr>
          <w:rFonts w:ascii="13" w:hAnsi="13"/>
          <w:sz w:val="24"/>
          <w:szCs w:val="24"/>
          <w:lang w:val="ru-RU"/>
        </w:rPr>
        <w:t xml:space="preserve"> </w:t>
      </w:r>
      <w:proofErr w:type="spellStart"/>
      <w:r w:rsidRPr="00CC2C6B">
        <w:rPr>
          <w:rFonts w:ascii="13" w:hAnsi="13"/>
          <w:sz w:val="24"/>
          <w:szCs w:val="24"/>
          <w:lang w:val="ru-RU"/>
        </w:rPr>
        <w:t>Board</w:t>
      </w:r>
      <w:proofErr w:type="spellEnd"/>
    </w:p>
    <w:p w:rsidR="00CC2C6B" w:rsidRPr="00CC2C6B" w:rsidRDefault="00CC2C6B" w:rsidP="00CC2C6B">
      <w:pPr>
        <w:pStyle w:val="a5"/>
        <w:numPr>
          <w:ilvl w:val="0"/>
          <w:numId w:val="1"/>
        </w:numPr>
        <w:spacing w:before="0" w:beforeAutospacing="0" w:after="0" w:afterAutospacing="0"/>
        <w:ind w:firstLine="709"/>
        <w:contextualSpacing/>
        <w:jc w:val="both"/>
        <w:rPr>
          <w:rFonts w:ascii="13" w:hAnsi="13"/>
        </w:rPr>
      </w:pPr>
      <w:proofErr w:type="spellStart"/>
      <w:r w:rsidRPr="00CC2C6B">
        <w:rPr>
          <w:rFonts w:ascii="13" w:hAnsi="13"/>
        </w:rPr>
        <w:t>General</w:t>
      </w:r>
      <w:proofErr w:type="spellEnd"/>
      <w:r w:rsidRPr="00CC2C6B">
        <w:rPr>
          <w:rFonts w:ascii="13" w:hAnsi="13"/>
        </w:rPr>
        <w:t xml:space="preserve"> </w:t>
      </w:r>
      <w:proofErr w:type="spellStart"/>
      <w:r w:rsidRPr="00CC2C6B">
        <w:rPr>
          <w:rFonts w:ascii="13" w:hAnsi="13"/>
        </w:rPr>
        <w:t>Director</w:t>
      </w:r>
      <w:proofErr w:type="spellEnd"/>
      <w:r w:rsidRPr="00CC2C6B">
        <w:rPr>
          <w:rFonts w:ascii="13" w:hAnsi="13"/>
        </w:rPr>
        <w:t xml:space="preserve"> </w:t>
      </w:r>
    </w:p>
    <w:p w:rsidR="00F13FAB" w:rsidRPr="00CC2C6B" w:rsidRDefault="00CC2C6B" w:rsidP="00CC2C6B">
      <w:pPr>
        <w:tabs>
          <w:tab w:val="left" w:pos="426"/>
          <w:tab w:val="left" w:pos="851"/>
        </w:tabs>
        <w:spacing w:before="240" w:after="120"/>
        <w:ind w:firstLine="709"/>
        <w:jc w:val="both"/>
        <w:rPr>
          <w:sz w:val="24"/>
          <w:szCs w:val="24"/>
          <w:lang w:val="en-US"/>
        </w:rPr>
      </w:pPr>
      <w:r w:rsidRPr="00CC2C6B">
        <w:rPr>
          <w:sz w:val="24"/>
          <w:szCs w:val="24"/>
          <w:lang w:val="en-US"/>
        </w:rPr>
        <w:t>The Company’s Board of Directors performs general management of the Company’s activity, except for solution of issues referred to the competence of the General Meeting of Shareholders by the Federal Law “On Joint-Stock Companies” and the Company’s Articles of Association</w:t>
      </w:r>
      <w:r w:rsidR="00F13FAB" w:rsidRPr="00CC2C6B">
        <w:rPr>
          <w:sz w:val="24"/>
          <w:szCs w:val="24"/>
          <w:lang w:val="en-US"/>
        </w:rPr>
        <w:t>.</w:t>
      </w:r>
    </w:p>
    <w:p w:rsidR="00DC1587" w:rsidRPr="00CC2C6B" w:rsidRDefault="00DC1587" w:rsidP="00DF2216">
      <w:pPr>
        <w:tabs>
          <w:tab w:val="left" w:pos="426"/>
          <w:tab w:val="left" w:pos="851"/>
        </w:tabs>
        <w:spacing w:before="120" w:after="120"/>
        <w:jc w:val="both"/>
        <w:rPr>
          <w:sz w:val="22"/>
          <w:szCs w:val="22"/>
          <w:lang w:val="en-US"/>
        </w:rPr>
      </w:pPr>
    </w:p>
    <w:p w:rsidR="00D81681" w:rsidRPr="00CC2C6B" w:rsidRDefault="00CC2C6B" w:rsidP="00E55E56">
      <w:pPr>
        <w:pStyle w:val="a5"/>
        <w:ind w:left="709" w:firstLine="11"/>
        <w:contextualSpacing/>
        <w:rPr>
          <w:b/>
          <w:bCs/>
          <w:lang w:val="en-US"/>
        </w:rPr>
      </w:pPr>
      <w:r w:rsidRPr="00CC2C6B">
        <w:rPr>
          <w:b/>
          <w:bCs/>
          <w:lang w:val="en-US"/>
        </w:rPr>
        <w:t>Data on the members of the management and control bodies of IDGC of Centre</w:t>
      </w:r>
      <w:r w:rsidR="00D81681" w:rsidRPr="00CC2C6B">
        <w:rPr>
          <w:b/>
          <w:bCs/>
          <w:lang w:val="en-US"/>
        </w:rPr>
        <w:t>:</w:t>
      </w:r>
    </w:p>
    <w:p w:rsidR="00D81681" w:rsidRPr="00CC2C6B" w:rsidRDefault="00D81681" w:rsidP="00D81681">
      <w:pPr>
        <w:pStyle w:val="a5"/>
        <w:ind w:left="709"/>
        <w:contextualSpacing/>
        <w:jc w:val="both"/>
        <w:rPr>
          <w:rFonts w:ascii="13" w:hAnsi="13"/>
          <w:b/>
          <w:bCs/>
          <w:sz w:val="22"/>
          <w:szCs w:val="22"/>
          <w:lang w:val="en-US"/>
        </w:rPr>
      </w:pPr>
      <w:r w:rsidRPr="00CC2C6B">
        <w:rPr>
          <w:rFonts w:ascii="13" w:hAnsi="13"/>
          <w:b/>
          <w:bCs/>
          <w:sz w:val="22"/>
          <w:szCs w:val="22"/>
          <w:lang w:val="en-US"/>
        </w:rPr>
        <w:t xml:space="preserve">  </w:t>
      </w:r>
    </w:p>
    <w:tbl>
      <w:tblPr>
        <w:tblW w:w="9361" w:type="dxa"/>
        <w:tblInd w:w="5" w:type="dxa"/>
        <w:tblCellMar>
          <w:left w:w="0" w:type="dxa"/>
          <w:right w:w="0" w:type="dxa"/>
        </w:tblCellMar>
        <w:tblLook w:val="04A0"/>
      </w:tblPr>
      <w:tblGrid>
        <w:gridCol w:w="851"/>
        <w:gridCol w:w="2977"/>
        <w:gridCol w:w="86"/>
        <w:gridCol w:w="5447"/>
      </w:tblGrid>
      <w:tr w:rsidR="006C59FC" w:rsidRPr="00A31581" w:rsidTr="00DC1587">
        <w:trPr>
          <w:trHeight w:val="326"/>
          <w:tblHeader/>
        </w:trPr>
        <w:tc>
          <w:tcPr>
            <w:tcW w:w="851" w:type="dxa"/>
            <w:tcBorders>
              <w:top w:val="single" w:sz="8" w:space="0" w:color="auto"/>
              <w:left w:val="single" w:sz="8" w:space="0" w:color="auto"/>
              <w:bottom w:val="single" w:sz="8" w:space="0" w:color="auto"/>
              <w:right w:val="single" w:sz="8" w:space="0" w:color="auto"/>
            </w:tcBorders>
            <w:vAlign w:val="center"/>
            <w:hideMark/>
          </w:tcPr>
          <w:p w:rsidR="006C59FC" w:rsidRPr="00BA517A" w:rsidRDefault="006C59FC" w:rsidP="007C4502">
            <w:pPr>
              <w:spacing w:line="276" w:lineRule="auto"/>
              <w:jc w:val="center"/>
              <w:rPr>
                <w:rFonts w:ascii="13" w:hAnsi="13"/>
                <w:b/>
                <w:bCs/>
                <w:lang w:val="en-US"/>
              </w:rPr>
            </w:pPr>
            <w:r>
              <w:rPr>
                <w:rFonts w:ascii="13" w:hAnsi="13"/>
                <w:b/>
                <w:bCs/>
                <w:lang w:val="en-US"/>
              </w:rPr>
              <w:t>#</w:t>
            </w:r>
          </w:p>
        </w:tc>
        <w:tc>
          <w:tcPr>
            <w:tcW w:w="3063" w:type="dxa"/>
            <w:gridSpan w:val="2"/>
            <w:tcBorders>
              <w:top w:val="single" w:sz="8" w:space="0" w:color="auto"/>
              <w:left w:val="nil"/>
              <w:bottom w:val="single" w:sz="8" w:space="0" w:color="auto"/>
              <w:right w:val="single" w:sz="8" w:space="0" w:color="auto"/>
            </w:tcBorders>
            <w:vAlign w:val="center"/>
            <w:hideMark/>
          </w:tcPr>
          <w:p w:rsidR="006C59FC" w:rsidRPr="00BA517A" w:rsidRDefault="006C59FC" w:rsidP="007C4502">
            <w:pPr>
              <w:spacing w:line="276" w:lineRule="auto"/>
              <w:jc w:val="center"/>
              <w:rPr>
                <w:rFonts w:ascii="13" w:hAnsi="13"/>
                <w:b/>
                <w:bCs/>
                <w:lang w:val="en-US"/>
              </w:rPr>
            </w:pPr>
            <w:r w:rsidRPr="00BA517A">
              <w:rPr>
                <w:rFonts w:ascii="13" w:hAnsi="13"/>
                <w:b/>
                <w:bCs/>
                <w:lang w:val="en-US"/>
              </w:rPr>
              <w:t>Full name</w:t>
            </w:r>
          </w:p>
        </w:tc>
        <w:tc>
          <w:tcPr>
            <w:tcW w:w="5447" w:type="dxa"/>
            <w:tcBorders>
              <w:top w:val="single" w:sz="8" w:space="0" w:color="auto"/>
              <w:left w:val="nil"/>
              <w:bottom w:val="single" w:sz="8" w:space="0" w:color="auto"/>
              <w:right w:val="single" w:sz="8" w:space="0" w:color="auto"/>
            </w:tcBorders>
            <w:vAlign w:val="center"/>
            <w:hideMark/>
          </w:tcPr>
          <w:p w:rsidR="006C59FC" w:rsidRPr="00BA517A" w:rsidRDefault="006C59FC" w:rsidP="007C4502">
            <w:pPr>
              <w:spacing w:line="276" w:lineRule="auto"/>
              <w:jc w:val="center"/>
              <w:rPr>
                <w:rFonts w:ascii="13" w:hAnsi="13"/>
                <w:b/>
                <w:bCs/>
                <w:lang w:val="en-US"/>
              </w:rPr>
            </w:pPr>
            <w:r w:rsidRPr="00BA517A">
              <w:rPr>
                <w:rFonts w:ascii="13" w:hAnsi="13"/>
                <w:b/>
                <w:bCs/>
                <w:lang w:val="en-US"/>
              </w:rPr>
              <w:t>Title</w:t>
            </w:r>
          </w:p>
        </w:tc>
      </w:tr>
      <w:tr w:rsidR="00D81681" w:rsidRPr="00B214FD" w:rsidTr="00DC1587">
        <w:trPr>
          <w:trHeight w:val="119"/>
        </w:trPr>
        <w:tc>
          <w:tcPr>
            <w:tcW w:w="851" w:type="dxa"/>
            <w:tcBorders>
              <w:top w:val="nil"/>
              <w:left w:val="single" w:sz="8" w:space="0" w:color="auto"/>
              <w:bottom w:val="single" w:sz="8" w:space="0" w:color="auto"/>
              <w:right w:val="single" w:sz="8" w:space="0" w:color="auto"/>
            </w:tcBorders>
            <w:hideMark/>
          </w:tcPr>
          <w:p w:rsidR="00D81681" w:rsidRPr="00B214FD" w:rsidRDefault="00D81681" w:rsidP="00DC1587">
            <w:pPr>
              <w:spacing w:line="276" w:lineRule="auto"/>
              <w:jc w:val="center"/>
              <w:rPr>
                <w:sz w:val="18"/>
                <w:szCs w:val="18"/>
              </w:rPr>
            </w:pPr>
            <w:r w:rsidRPr="00B214FD">
              <w:rPr>
                <w:sz w:val="18"/>
                <w:szCs w:val="18"/>
              </w:rPr>
              <w:t>1</w:t>
            </w:r>
          </w:p>
        </w:tc>
        <w:tc>
          <w:tcPr>
            <w:tcW w:w="3063" w:type="dxa"/>
            <w:gridSpan w:val="2"/>
            <w:tcBorders>
              <w:top w:val="nil"/>
              <w:left w:val="nil"/>
              <w:bottom w:val="single" w:sz="8" w:space="0" w:color="auto"/>
              <w:right w:val="single" w:sz="8" w:space="0" w:color="auto"/>
            </w:tcBorders>
            <w:noWrap/>
            <w:vAlign w:val="center"/>
            <w:hideMark/>
          </w:tcPr>
          <w:p w:rsidR="00D81681" w:rsidRPr="00B214FD" w:rsidRDefault="00D81681" w:rsidP="00DC1587">
            <w:pPr>
              <w:spacing w:line="276" w:lineRule="auto"/>
              <w:ind w:firstLine="709"/>
              <w:rPr>
                <w:sz w:val="18"/>
                <w:szCs w:val="18"/>
              </w:rPr>
            </w:pPr>
            <w:r w:rsidRPr="00B214FD">
              <w:rPr>
                <w:sz w:val="18"/>
                <w:szCs w:val="18"/>
              </w:rPr>
              <w:t>            2</w:t>
            </w:r>
          </w:p>
        </w:tc>
        <w:tc>
          <w:tcPr>
            <w:tcW w:w="5447" w:type="dxa"/>
            <w:tcBorders>
              <w:top w:val="nil"/>
              <w:left w:val="nil"/>
              <w:bottom w:val="single" w:sz="8" w:space="0" w:color="auto"/>
              <w:right w:val="single" w:sz="8" w:space="0" w:color="auto"/>
            </w:tcBorders>
            <w:noWrap/>
            <w:vAlign w:val="center"/>
            <w:hideMark/>
          </w:tcPr>
          <w:p w:rsidR="00D81681" w:rsidRPr="00B214FD" w:rsidRDefault="00D81681" w:rsidP="00DC1587">
            <w:pPr>
              <w:spacing w:line="276" w:lineRule="auto"/>
              <w:ind w:firstLine="709"/>
              <w:jc w:val="center"/>
              <w:rPr>
                <w:sz w:val="18"/>
                <w:szCs w:val="18"/>
              </w:rPr>
            </w:pPr>
            <w:r w:rsidRPr="00B214FD">
              <w:rPr>
                <w:sz w:val="18"/>
                <w:szCs w:val="18"/>
              </w:rPr>
              <w:t>3</w:t>
            </w:r>
          </w:p>
        </w:tc>
      </w:tr>
      <w:tr w:rsidR="00D81681" w:rsidRPr="00A31581" w:rsidTr="00DC1587">
        <w:trPr>
          <w:cantSplit/>
          <w:trHeight w:val="240"/>
        </w:trPr>
        <w:tc>
          <w:tcPr>
            <w:tcW w:w="9361" w:type="dxa"/>
            <w:gridSpan w:val="4"/>
            <w:tcBorders>
              <w:top w:val="nil"/>
              <w:left w:val="single" w:sz="8" w:space="0" w:color="auto"/>
              <w:bottom w:val="single" w:sz="8" w:space="0" w:color="auto"/>
              <w:right w:val="single" w:sz="8" w:space="0" w:color="auto"/>
            </w:tcBorders>
            <w:vAlign w:val="center"/>
            <w:hideMark/>
          </w:tcPr>
          <w:p w:rsidR="00D81681" w:rsidRPr="006C59FC" w:rsidRDefault="006C59FC" w:rsidP="00DC1587">
            <w:pPr>
              <w:spacing w:line="276" w:lineRule="auto"/>
              <w:ind w:firstLine="709"/>
              <w:jc w:val="center"/>
              <w:rPr>
                <w:b/>
                <w:bCs/>
                <w:lang w:val="en-US"/>
              </w:rPr>
            </w:pPr>
            <w:r w:rsidRPr="00BA517A">
              <w:rPr>
                <w:b/>
                <w:lang w:val="en-US"/>
              </w:rPr>
              <w:lastRenderedPageBreak/>
              <w:t xml:space="preserve">Board of Directors, elected by the General Meeting of Shareholders of </w:t>
            </w:r>
            <w:r w:rsidR="00D81681" w:rsidRPr="006C59FC">
              <w:rPr>
                <w:b/>
                <w:bCs/>
                <w:lang w:val="en-US"/>
              </w:rPr>
              <w:t>26.06.2014</w:t>
            </w:r>
            <w:r w:rsidR="00D81681" w:rsidRPr="00A31581">
              <w:rPr>
                <w:b/>
                <w:bCs/>
              </w:rPr>
              <w:t> </w:t>
            </w:r>
          </w:p>
          <w:p w:rsidR="00D81681" w:rsidRPr="00A31581" w:rsidRDefault="00D81681" w:rsidP="006C59FC">
            <w:pPr>
              <w:spacing w:line="276" w:lineRule="auto"/>
              <w:ind w:firstLine="709"/>
              <w:jc w:val="center"/>
            </w:pPr>
            <w:r w:rsidRPr="00A31581">
              <w:rPr>
                <w:b/>
                <w:bCs/>
              </w:rPr>
              <w:t>(</w:t>
            </w:r>
            <w:r w:rsidR="006C59FC" w:rsidRPr="00BA517A">
              <w:rPr>
                <w:b/>
                <w:lang w:val="en-US"/>
              </w:rPr>
              <w:t>Minutes #</w:t>
            </w:r>
            <w:r w:rsidR="006C59FC">
              <w:rPr>
                <w:b/>
                <w:lang w:val="en-US"/>
              </w:rPr>
              <w:t xml:space="preserve"> </w:t>
            </w:r>
            <w:r w:rsidR="006C59FC" w:rsidRPr="00A31581">
              <w:rPr>
                <w:b/>
                <w:bCs/>
              </w:rPr>
              <w:t>01/14</w:t>
            </w:r>
            <w:r w:rsidR="006C59FC">
              <w:rPr>
                <w:b/>
                <w:bCs/>
              </w:rPr>
              <w:t xml:space="preserve"> of </w:t>
            </w:r>
            <w:r w:rsidRPr="00A31581">
              <w:rPr>
                <w:b/>
                <w:bCs/>
              </w:rPr>
              <w:t>30.06.2014)</w:t>
            </w:r>
          </w:p>
        </w:tc>
      </w:tr>
      <w:tr w:rsidR="00D81681" w:rsidRPr="00550543" w:rsidTr="00DC1587">
        <w:trPr>
          <w:cantSplit/>
          <w:trHeight w:val="240"/>
        </w:trPr>
        <w:tc>
          <w:tcPr>
            <w:tcW w:w="851" w:type="dxa"/>
            <w:tcBorders>
              <w:top w:val="nil"/>
              <w:left w:val="single" w:sz="8" w:space="0" w:color="auto"/>
              <w:bottom w:val="single" w:sz="8" w:space="0" w:color="auto"/>
              <w:right w:val="single" w:sz="8" w:space="0" w:color="auto"/>
            </w:tcBorders>
            <w:vAlign w:val="center"/>
            <w:hideMark/>
          </w:tcPr>
          <w:p w:rsidR="00D81681" w:rsidRPr="00A31581" w:rsidRDefault="00D81681" w:rsidP="006023BC">
            <w:pPr>
              <w:spacing w:line="276" w:lineRule="auto"/>
              <w:jc w:val="center"/>
            </w:pPr>
            <w:r w:rsidRPr="00A31581">
              <w:t>1</w:t>
            </w:r>
          </w:p>
        </w:tc>
        <w:tc>
          <w:tcPr>
            <w:tcW w:w="3063" w:type="dxa"/>
            <w:gridSpan w:val="2"/>
            <w:tcBorders>
              <w:top w:val="nil"/>
              <w:left w:val="nil"/>
              <w:bottom w:val="single" w:sz="8" w:space="0" w:color="auto"/>
              <w:right w:val="single" w:sz="8" w:space="0" w:color="auto"/>
            </w:tcBorders>
            <w:noWrap/>
            <w:hideMark/>
          </w:tcPr>
          <w:p w:rsidR="00D81681" w:rsidRPr="00A31581" w:rsidRDefault="00264AB8" w:rsidP="00DC1587">
            <w:pPr>
              <w:spacing w:line="276" w:lineRule="auto"/>
              <w:ind w:left="142"/>
            </w:pPr>
            <w:proofErr w:type="spellStart"/>
            <w:r w:rsidRPr="00264AB8">
              <w:t>Oxana</w:t>
            </w:r>
            <w:proofErr w:type="spellEnd"/>
            <w:r w:rsidRPr="00264AB8">
              <w:t xml:space="preserve"> </w:t>
            </w:r>
            <w:proofErr w:type="spellStart"/>
            <w:r w:rsidRPr="00264AB8">
              <w:t>Vladimirovna</w:t>
            </w:r>
            <w:proofErr w:type="spellEnd"/>
            <w:r w:rsidRPr="00264AB8">
              <w:t xml:space="preserve"> </w:t>
            </w:r>
            <w:proofErr w:type="spellStart"/>
            <w:r w:rsidRPr="00264AB8">
              <w:t>Shatokhina</w:t>
            </w:r>
            <w:proofErr w:type="spellEnd"/>
          </w:p>
        </w:tc>
        <w:tc>
          <w:tcPr>
            <w:tcW w:w="5447" w:type="dxa"/>
            <w:tcBorders>
              <w:top w:val="nil"/>
              <w:left w:val="nil"/>
              <w:bottom w:val="single" w:sz="8" w:space="0" w:color="auto"/>
              <w:right w:val="single" w:sz="8" w:space="0" w:color="auto"/>
            </w:tcBorders>
            <w:noWrap/>
            <w:hideMark/>
          </w:tcPr>
          <w:p w:rsidR="00D81681" w:rsidRPr="00550543" w:rsidRDefault="00C14FC0" w:rsidP="00C14FC0">
            <w:pPr>
              <w:spacing w:line="276" w:lineRule="auto"/>
              <w:ind w:left="55"/>
              <w:rPr>
                <w:lang w:val="en-US"/>
              </w:rPr>
            </w:pPr>
            <w:r w:rsidRPr="003A5C0F">
              <w:rPr>
                <w:lang w:val="en-US"/>
              </w:rPr>
              <w:t>Chair</w:t>
            </w:r>
            <w:r>
              <w:rPr>
                <w:lang w:val="en-US"/>
              </w:rPr>
              <w:t>person</w:t>
            </w:r>
            <w:r w:rsidRPr="00550543">
              <w:rPr>
                <w:lang w:val="en-US"/>
              </w:rPr>
              <w:t xml:space="preserve"> </w:t>
            </w:r>
            <w:r w:rsidRPr="003A5C0F">
              <w:rPr>
                <w:lang w:val="en-US"/>
              </w:rPr>
              <w:t>of</w:t>
            </w:r>
            <w:r w:rsidRPr="00550543">
              <w:rPr>
                <w:lang w:val="en-US"/>
              </w:rPr>
              <w:t xml:space="preserve"> </w:t>
            </w:r>
            <w:r w:rsidRPr="003A5C0F">
              <w:rPr>
                <w:lang w:val="en-US"/>
              </w:rPr>
              <w:t>the</w:t>
            </w:r>
            <w:r w:rsidRPr="00550543">
              <w:rPr>
                <w:lang w:val="en-US"/>
              </w:rPr>
              <w:t xml:space="preserve"> </w:t>
            </w:r>
            <w:r w:rsidRPr="003A5C0F">
              <w:rPr>
                <w:lang w:val="en-US"/>
              </w:rPr>
              <w:t>Board</w:t>
            </w:r>
            <w:r w:rsidRPr="00550543">
              <w:rPr>
                <w:lang w:val="en-US"/>
              </w:rPr>
              <w:t xml:space="preserve"> </w:t>
            </w:r>
            <w:r w:rsidRPr="003A5C0F">
              <w:rPr>
                <w:lang w:val="en-US"/>
              </w:rPr>
              <w:t>of</w:t>
            </w:r>
            <w:r w:rsidRPr="00550543">
              <w:rPr>
                <w:lang w:val="en-US"/>
              </w:rPr>
              <w:t xml:space="preserve"> </w:t>
            </w:r>
            <w:r w:rsidRPr="003A5C0F">
              <w:rPr>
                <w:lang w:val="en-US"/>
              </w:rPr>
              <w:t>Directors</w:t>
            </w:r>
            <w:r w:rsidRPr="00550543">
              <w:rPr>
                <w:rStyle w:val="apple-style-span"/>
                <w:lang w:val="en-US"/>
              </w:rPr>
              <w:t xml:space="preserve"> </w:t>
            </w:r>
            <w:r w:rsidRPr="00163B8B">
              <w:rPr>
                <w:rStyle w:val="apple-style-span"/>
                <w:lang w:val="en-US"/>
              </w:rPr>
              <w:t>of</w:t>
            </w:r>
            <w:r w:rsidRPr="00550543">
              <w:rPr>
                <w:rStyle w:val="apple-style-span"/>
                <w:lang w:val="en-US"/>
              </w:rPr>
              <w:t xml:space="preserve"> </w:t>
            </w:r>
            <w:r w:rsidRPr="00163B8B">
              <w:rPr>
                <w:rStyle w:val="apple-style-span"/>
                <w:lang w:val="en-US"/>
              </w:rPr>
              <w:t>IDGC</w:t>
            </w:r>
            <w:r w:rsidRPr="00550543">
              <w:rPr>
                <w:rStyle w:val="apple-style-span"/>
                <w:lang w:val="en-US"/>
              </w:rPr>
              <w:t xml:space="preserve"> </w:t>
            </w:r>
            <w:r w:rsidRPr="00163B8B">
              <w:rPr>
                <w:rStyle w:val="apple-style-span"/>
                <w:lang w:val="en-US"/>
              </w:rPr>
              <w:t>of</w:t>
            </w:r>
            <w:r w:rsidRPr="00550543">
              <w:rPr>
                <w:rStyle w:val="apple-style-span"/>
                <w:lang w:val="en-US"/>
              </w:rPr>
              <w:t xml:space="preserve"> </w:t>
            </w:r>
            <w:r w:rsidRPr="00163B8B">
              <w:rPr>
                <w:rStyle w:val="apple-style-span"/>
                <w:lang w:val="en-US"/>
              </w:rPr>
              <w:t>Centre</w:t>
            </w:r>
            <w:r w:rsidR="00D81681" w:rsidRPr="00550543">
              <w:rPr>
                <w:rStyle w:val="apple-style-span"/>
                <w:lang w:val="en-US"/>
              </w:rPr>
              <w:t>,</w:t>
            </w:r>
            <w:r w:rsidR="00D81681" w:rsidRPr="00A31581">
              <w:rPr>
                <w:rStyle w:val="apple-style-span"/>
              </w:rPr>
              <w:t> </w:t>
            </w:r>
            <w:r w:rsidR="00D81681" w:rsidRPr="00550543">
              <w:rPr>
                <w:rStyle w:val="apple-style-span"/>
                <w:lang w:val="en-US"/>
              </w:rPr>
              <w:t xml:space="preserve"> </w:t>
            </w:r>
            <w:r w:rsidR="00550543" w:rsidRPr="00550543">
              <w:rPr>
                <w:rStyle w:val="apple-style-span"/>
                <w:lang w:val="en-US"/>
              </w:rPr>
              <w:t>Deputy General Director for Economy of JSC «Russian Grids»</w:t>
            </w:r>
          </w:p>
        </w:tc>
      </w:tr>
      <w:tr w:rsidR="00D81681" w:rsidRPr="00C14FC0"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B214FD" w:rsidRDefault="00D81681" w:rsidP="006023BC">
            <w:pPr>
              <w:spacing w:line="276" w:lineRule="auto"/>
              <w:jc w:val="center"/>
            </w:pPr>
            <w:r w:rsidRPr="00B214FD">
              <w:t>2</w:t>
            </w:r>
          </w:p>
        </w:tc>
        <w:tc>
          <w:tcPr>
            <w:tcW w:w="3063" w:type="dxa"/>
            <w:gridSpan w:val="2"/>
            <w:tcBorders>
              <w:top w:val="nil"/>
              <w:left w:val="nil"/>
              <w:bottom w:val="single" w:sz="8" w:space="0" w:color="auto"/>
              <w:right w:val="single" w:sz="8" w:space="0" w:color="auto"/>
            </w:tcBorders>
            <w:noWrap/>
          </w:tcPr>
          <w:p w:rsidR="00D81681" w:rsidRPr="00B214FD" w:rsidRDefault="00264AB8" w:rsidP="00DC1587">
            <w:pPr>
              <w:spacing w:line="276" w:lineRule="auto"/>
              <w:ind w:left="142"/>
            </w:pPr>
            <w:proofErr w:type="spellStart"/>
            <w:r>
              <w:t>Yury</w:t>
            </w:r>
            <w:proofErr w:type="spellEnd"/>
            <w:r>
              <w:t xml:space="preserve"> Nikolayevich </w:t>
            </w:r>
            <w:proofErr w:type="spellStart"/>
            <w:r>
              <w:t>Mangarov</w:t>
            </w:r>
            <w:proofErr w:type="spellEnd"/>
          </w:p>
        </w:tc>
        <w:tc>
          <w:tcPr>
            <w:tcW w:w="5447" w:type="dxa"/>
            <w:tcBorders>
              <w:top w:val="nil"/>
              <w:left w:val="nil"/>
              <w:bottom w:val="single" w:sz="8" w:space="0" w:color="auto"/>
              <w:right w:val="single" w:sz="8" w:space="0" w:color="auto"/>
            </w:tcBorders>
            <w:noWrap/>
          </w:tcPr>
          <w:p w:rsidR="00D81681" w:rsidRPr="00550543" w:rsidRDefault="00C14FC0" w:rsidP="00C14FC0">
            <w:pPr>
              <w:spacing w:line="276" w:lineRule="auto"/>
              <w:ind w:left="55"/>
              <w:rPr>
                <w:rStyle w:val="apple-style-span"/>
                <w:lang w:val="en-US"/>
              </w:rPr>
            </w:pPr>
            <w:r>
              <w:rPr>
                <w:lang w:val="en-US"/>
              </w:rPr>
              <w:t xml:space="preserve">Deputy </w:t>
            </w:r>
            <w:r w:rsidRPr="003A5C0F">
              <w:rPr>
                <w:lang w:val="en-US"/>
              </w:rPr>
              <w:t>Chair</w:t>
            </w:r>
            <w:r>
              <w:rPr>
                <w:lang w:val="en-US"/>
              </w:rPr>
              <w:t>person</w:t>
            </w:r>
            <w:r w:rsidRPr="00C14FC0">
              <w:t xml:space="preserve"> </w:t>
            </w:r>
            <w:r w:rsidRPr="003A5C0F">
              <w:rPr>
                <w:lang w:val="en-US"/>
              </w:rPr>
              <w:t>of</w:t>
            </w:r>
            <w:r w:rsidRPr="00C14FC0">
              <w:t xml:space="preserve"> </w:t>
            </w:r>
            <w:r w:rsidRPr="003A5C0F">
              <w:rPr>
                <w:lang w:val="en-US"/>
              </w:rPr>
              <w:t>the</w:t>
            </w:r>
            <w:r w:rsidRPr="00C14FC0">
              <w:t xml:space="preserve"> </w:t>
            </w:r>
            <w:r w:rsidRPr="003A5C0F">
              <w:rPr>
                <w:lang w:val="en-US"/>
              </w:rPr>
              <w:t>Board</w:t>
            </w:r>
            <w:r w:rsidRPr="00C14FC0">
              <w:t xml:space="preserve"> </w:t>
            </w:r>
            <w:r w:rsidRPr="003A5C0F">
              <w:rPr>
                <w:lang w:val="en-US"/>
              </w:rPr>
              <w:t>of</w:t>
            </w:r>
            <w:r w:rsidRPr="00C14FC0">
              <w:t xml:space="preserve"> </w:t>
            </w:r>
            <w:r w:rsidRPr="003A5C0F">
              <w:rPr>
                <w:lang w:val="en-US"/>
              </w:rPr>
              <w:t>Directors</w:t>
            </w:r>
            <w:r w:rsidRPr="00C14FC0">
              <w:rPr>
                <w:rStyle w:val="apple-style-span"/>
              </w:rPr>
              <w:t xml:space="preserve"> </w:t>
            </w:r>
            <w:r w:rsidRPr="00163B8B">
              <w:rPr>
                <w:rStyle w:val="apple-style-span"/>
                <w:lang w:val="en-US"/>
              </w:rPr>
              <w:t>of</w:t>
            </w:r>
            <w:r w:rsidRPr="00C14FC0">
              <w:rPr>
                <w:rStyle w:val="apple-style-span"/>
              </w:rPr>
              <w:t xml:space="preserve"> </w:t>
            </w:r>
            <w:r w:rsidRPr="00163B8B">
              <w:rPr>
                <w:rStyle w:val="apple-style-span"/>
                <w:lang w:val="en-US"/>
              </w:rPr>
              <w:t>IDGC</w:t>
            </w:r>
            <w:r w:rsidRPr="00C14FC0">
              <w:rPr>
                <w:rStyle w:val="apple-style-span"/>
              </w:rPr>
              <w:t xml:space="preserve"> </w:t>
            </w:r>
            <w:r w:rsidRPr="00163B8B">
              <w:rPr>
                <w:rStyle w:val="apple-style-span"/>
                <w:lang w:val="en-US"/>
              </w:rPr>
              <w:t>of</w:t>
            </w:r>
            <w:r w:rsidRPr="00C14FC0">
              <w:rPr>
                <w:rStyle w:val="apple-style-span"/>
              </w:rPr>
              <w:t xml:space="preserve"> </w:t>
            </w:r>
            <w:r w:rsidRPr="00163B8B">
              <w:rPr>
                <w:rStyle w:val="apple-style-span"/>
                <w:lang w:val="en-US"/>
              </w:rPr>
              <w:t>Centre</w:t>
            </w:r>
            <w:r w:rsidR="00D81681" w:rsidRPr="00C14FC0">
              <w:rPr>
                <w:shd w:val="clear" w:color="auto" w:fill="FFFFFF"/>
              </w:rPr>
              <w:t xml:space="preserve">, </w:t>
            </w:r>
            <w:r w:rsidR="00550543" w:rsidRPr="00550543">
              <w:rPr>
                <w:rStyle w:val="apple-style-span"/>
                <w:lang w:val="en-US"/>
              </w:rPr>
              <w:t>Adviser of JSC «Russian Grids»</w:t>
            </w:r>
          </w:p>
        </w:tc>
      </w:tr>
      <w:tr w:rsidR="00D81681" w:rsidRPr="007618C0"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8A74AA" w:rsidRDefault="00D81681" w:rsidP="006023BC">
            <w:pPr>
              <w:spacing w:line="276" w:lineRule="auto"/>
              <w:jc w:val="center"/>
            </w:pPr>
            <w:r w:rsidRPr="008A74AA">
              <w:t>3</w:t>
            </w:r>
          </w:p>
        </w:tc>
        <w:tc>
          <w:tcPr>
            <w:tcW w:w="3063" w:type="dxa"/>
            <w:gridSpan w:val="2"/>
            <w:tcBorders>
              <w:top w:val="nil"/>
              <w:left w:val="nil"/>
              <w:bottom w:val="single" w:sz="8" w:space="0" w:color="auto"/>
              <w:right w:val="single" w:sz="8" w:space="0" w:color="auto"/>
            </w:tcBorders>
            <w:noWrap/>
          </w:tcPr>
          <w:p w:rsidR="00D81681" w:rsidRPr="008A74AA" w:rsidRDefault="00264AB8" w:rsidP="00DC1587">
            <w:pPr>
              <w:spacing w:line="276" w:lineRule="auto"/>
              <w:ind w:left="142"/>
            </w:pPr>
            <w:r>
              <w:t xml:space="preserve">Alexander </w:t>
            </w:r>
            <w:proofErr w:type="spellStart"/>
            <w:r>
              <w:t>Markovich</w:t>
            </w:r>
            <w:proofErr w:type="spellEnd"/>
            <w:r>
              <w:t xml:space="preserve"> </w:t>
            </w:r>
            <w:proofErr w:type="spellStart"/>
            <w:r>
              <w:t>Branis</w:t>
            </w:r>
            <w:proofErr w:type="spellEnd"/>
          </w:p>
        </w:tc>
        <w:tc>
          <w:tcPr>
            <w:tcW w:w="5447" w:type="dxa"/>
            <w:tcBorders>
              <w:top w:val="nil"/>
              <w:left w:val="nil"/>
              <w:bottom w:val="single" w:sz="8" w:space="0" w:color="auto"/>
              <w:right w:val="single" w:sz="8" w:space="0" w:color="auto"/>
            </w:tcBorders>
            <w:noWrap/>
          </w:tcPr>
          <w:p w:rsidR="00D81681" w:rsidRPr="007618C0" w:rsidRDefault="007618C0" w:rsidP="00550543">
            <w:pPr>
              <w:spacing w:line="276" w:lineRule="auto"/>
              <w:ind w:left="55"/>
              <w:rPr>
                <w:rStyle w:val="apple-style-span"/>
                <w:lang w:val="en-US"/>
              </w:rPr>
            </w:pPr>
            <w:r w:rsidRPr="007618C0">
              <w:rPr>
                <w:rStyle w:val="apple-style-span"/>
                <w:lang w:val="en-US"/>
              </w:rPr>
              <w:t>Member of the Board of Directors of IDGC of Centre</w:t>
            </w:r>
            <w:r w:rsidR="00D81681" w:rsidRPr="007618C0">
              <w:rPr>
                <w:rStyle w:val="apple-style-span"/>
                <w:lang w:val="en-US"/>
              </w:rPr>
              <w:t>,</w:t>
            </w:r>
            <w:r w:rsidR="00D81681" w:rsidRPr="008A74AA">
              <w:rPr>
                <w:rStyle w:val="apple-style-span"/>
              </w:rPr>
              <w:t> </w:t>
            </w:r>
            <w:r w:rsidR="00D81681" w:rsidRPr="007618C0">
              <w:rPr>
                <w:rStyle w:val="apple-style-span"/>
                <w:lang w:val="en-US"/>
              </w:rPr>
              <w:t xml:space="preserve"> </w:t>
            </w:r>
            <w:r w:rsidR="00550543" w:rsidRPr="00550543">
              <w:rPr>
                <w:rStyle w:val="apple-style-span"/>
                <w:lang w:val="en-US"/>
              </w:rPr>
              <w:t xml:space="preserve">Director of Prosperity Capital Management (Russian Federation) Ltd. </w:t>
            </w:r>
          </w:p>
        </w:tc>
      </w:tr>
      <w:tr w:rsidR="00D81681" w:rsidRPr="00550543"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8A74AA" w:rsidRDefault="00D81681" w:rsidP="006023BC">
            <w:pPr>
              <w:spacing w:line="276" w:lineRule="auto"/>
              <w:jc w:val="center"/>
            </w:pPr>
            <w:r w:rsidRPr="008A74AA">
              <w:t>4</w:t>
            </w:r>
          </w:p>
        </w:tc>
        <w:tc>
          <w:tcPr>
            <w:tcW w:w="3063" w:type="dxa"/>
            <w:gridSpan w:val="2"/>
            <w:tcBorders>
              <w:top w:val="nil"/>
              <w:left w:val="nil"/>
              <w:bottom w:val="single" w:sz="8" w:space="0" w:color="auto"/>
              <w:right w:val="single" w:sz="8" w:space="0" w:color="auto"/>
            </w:tcBorders>
            <w:noWrap/>
          </w:tcPr>
          <w:p w:rsidR="00D81681" w:rsidRPr="008A74AA" w:rsidRDefault="00264AB8" w:rsidP="00DC1587">
            <w:pPr>
              <w:spacing w:line="276" w:lineRule="auto"/>
              <w:ind w:left="142"/>
            </w:pPr>
            <w:r>
              <w:t xml:space="preserve">Oleg </w:t>
            </w:r>
            <w:proofErr w:type="spellStart"/>
            <w:r>
              <w:t>Yuryevich</w:t>
            </w:r>
            <w:proofErr w:type="spellEnd"/>
            <w:r>
              <w:t xml:space="preserve"> </w:t>
            </w:r>
            <w:proofErr w:type="spellStart"/>
            <w:r>
              <w:t>Isaev</w:t>
            </w:r>
            <w:proofErr w:type="spellEnd"/>
          </w:p>
        </w:tc>
        <w:tc>
          <w:tcPr>
            <w:tcW w:w="5447" w:type="dxa"/>
            <w:tcBorders>
              <w:top w:val="nil"/>
              <w:left w:val="nil"/>
              <w:bottom w:val="single" w:sz="8" w:space="0" w:color="auto"/>
              <w:right w:val="single" w:sz="8" w:space="0" w:color="auto"/>
            </w:tcBorders>
            <w:noWrap/>
          </w:tcPr>
          <w:p w:rsidR="00D81681" w:rsidRPr="00550543" w:rsidRDefault="007618C0" w:rsidP="00550543">
            <w:pPr>
              <w:spacing w:line="276" w:lineRule="auto"/>
              <w:ind w:left="55"/>
              <w:rPr>
                <w:rStyle w:val="apple-style-span"/>
                <w:lang w:val="en-US"/>
              </w:rPr>
            </w:pPr>
            <w:r w:rsidRPr="00550543">
              <w:rPr>
                <w:rStyle w:val="apple-style-span"/>
                <w:lang w:val="en-US"/>
              </w:rPr>
              <w:t>Member of the Board of Directors of IDGC of Centre</w:t>
            </w:r>
            <w:r w:rsidR="00D81681" w:rsidRPr="00550543">
              <w:rPr>
                <w:rStyle w:val="apple-style-span"/>
                <w:lang w:val="en-US"/>
              </w:rPr>
              <w:t>,</w:t>
            </w:r>
            <w:r w:rsidR="00D81681" w:rsidRPr="008A74AA">
              <w:rPr>
                <w:rStyle w:val="apple-style-span"/>
              </w:rPr>
              <w:t> </w:t>
            </w:r>
            <w:r w:rsidR="00D81681" w:rsidRPr="00550543">
              <w:rPr>
                <w:rStyle w:val="apple-style-span"/>
                <w:lang w:val="en-US"/>
              </w:rPr>
              <w:t xml:space="preserve"> </w:t>
            </w:r>
            <w:r w:rsidR="00550543" w:rsidRPr="00550543">
              <w:rPr>
                <w:rStyle w:val="apple-style-span"/>
                <w:lang w:val="en-US"/>
              </w:rPr>
              <w:t>Chairman of the Management Board</w:t>
            </w:r>
            <w:r w:rsidR="00D81681" w:rsidRPr="00550543">
              <w:rPr>
                <w:rStyle w:val="apple-style-span"/>
                <w:lang w:val="en-US"/>
              </w:rPr>
              <w:t xml:space="preserve">, </w:t>
            </w:r>
            <w:r w:rsidR="00550543" w:rsidRPr="00550543">
              <w:rPr>
                <w:rStyle w:val="apple-style-span"/>
                <w:lang w:val="en-US"/>
              </w:rPr>
              <w:t>General Director</w:t>
            </w:r>
            <w:r w:rsidR="00550543">
              <w:rPr>
                <w:rStyle w:val="apple-style-span"/>
                <w:lang w:val="en-US"/>
              </w:rPr>
              <w:t xml:space="preserve"> </w:t>
            </w:r>
            <w:r w:rsidR="00550543" w:rsidRPr="00550543">
              <w:rPr>
                <w:rStyle w:val="apple-style-span"/>
                <w:lang w:val="en-US"/>
              </w:rPr>
              <w:t xml:space="preserve">of IDGC of Centre </w:t>
            </w:r>
          </w:p>
        </w:tc>
      </w:tr>
      <w:tr w:rsidR="00D81681" w:rsidRPr="00F81336"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8A74AA" w:rsidRDefault="00D81681" w:rsidP="006023BC">
            <w:pPr>
              <w:spacing w:line="276" w:lineRule="auto"/>
              <w:ind w:left="142"/>
              <w:jc w:val="center"/>
            </w:pPr>
            <w:r w:rsidRPr="008A74AA">
              <w:t>5</w:t>
            </w:r>
          </w:p>
        </w:tc>
        <w:tc>
          <w:tcPr>
            <w:tcW w:w="3063" w:type="dxa"/>
            <w:gridSpan w:val="2"/>
            <w:tcBorders>
              <w:top w:val="nil"/>
              <w:left w:val="nil"/>
              <w:bottom w:val="single" w:sz="8" w:space="0" w:color="auto"/>
              <w:right w:val="single" w:sz="8" w:space="0" w:color="auto"/>
            </w:tcBorders>
            <w:noWrap/>
          </w:tcPr>
          <w:p w:rsidR="00D81681" w:rsidRPr="00B214FD" w:rsidRDefault="00264AB8" w:rsidP="00DC1587">
            <w:pPr>
              <w:spacing w:line="276" w:lineRule="auto"/>
              <w:ind w:left="142"/>
            </w:pPr>
            <w:r>
              <w:t xml:space="preserve">Denis </w:t>
            </w:r>
            <w:proofErr w:type="spellStart"/>
            <w:r>
              <w:t>Viktorovich</w:t>
            </w:r>
            <w:proofErr w:type="spellEnd"/>
            <w:r>
              <w:t xml:space="preserve"> </w:t>
            </w:r>
            <w:proofErr w:type="spellStart"/>
            <w:r>
              <w:t>Kulikov</w:t>
            </w:r>
            <w:proofErr w:type="spellEnd"/>
          </w:p>
        </w:tc>
        <w:tc>
          <w:tcPr>
            <w:tcW w:w="5447" w:type="dxa"/>
            <w:tcBorders>
              <w:top w:val="nil"/>
              <w:left w:val="nil"/>
              <w:bottom w:val="single" w:sz="8" w:space="0" w:color="auto"/>
              <w:right w:val="single" w:sz="8" w:space="0" w:color="auto"/>
            </w:tcBorders>
            <w:noWrap/>
          </w:tcPr>
          <w:p w:rsidR="00D81681" w:rsidRPr="00F81336" w:rsidRDefault="007618C0" w:rsidP="00DC1587">
            <w:pPr>
              <w:spacing w:line="276" w:lineRule="auto"/>
              <w:ind w:left="55"/>
              <w:rPr>
                <w:rStyle w:val="apple-style-span"/>
                <w:lang w:val="en-US"/>
              </w:rPr>
            </w:pPr>
            <w:r w:rsidRPr="00F81336">
              <w:rPr>
                <w:rStyle w:val="apple-style-span"/>
                <w:lang w:val="en-US"/>
              </w:rPr>
              <w:t>Member of the Board of Directors of IDGC of Centre</w:t>
            </w:r>
            <w:r w:rsidR="00D81681" w:rsidRPr="00F81336">
              <w:rPr>
                <w:rStyle w:val="apple-style-span"/>
                <w:lang w:val="en-US"/>
              </w:rPr>
              <w:t xml:space="preserve">, </w:t>
            </w:r>
            <w:r w:rsidR="00F81336" w:rsidRPr="00F81336">
              <w:rPr>
                <w:rStyle w:val="apple-style-span"/>
                <w:lang w:val="en-US"/>
              </w:rPr>
              <w:t>Adviser to Executive Director of Association for Protection of rights of investors</w:t>
            </w:r>
          </w:p>
        </w:tc>
      </w:tr>
      <w:tr w:rsidR="00D81681" w:rsidRPr="007618C0"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B214FD" w:rsidRDefault="00D81681" w:rsidP="006023BC">
            <w:pPr>
              <w:spacing w:line="276" w:lineRule="auto"/>
              <w:jc w:val="center"/>
            </w:pPr>
            <w:r w:rsidRPr="00B214FD">
              <w:t>6</w:t>
            </w:r>
          </w:p>
        </w:tc>
        <w:tc>
          <w:tcPr>
            <w:tcW w:w="3063" w:type="dxa"/>
            <w:gridSpan w:val="2"/>
            <w:tcBorders>
              <w:top w:val="nil"/>
              <w:left w:val="nil"/>
              <w:bottom w:val="single" w:sz="8" w:space="0" w:color="auto"/>
              <w:right w:val="single" w:sz="8" w:space="0" w:color="auto"/>
            </w:tcBorders>
            <w:noWrap/>
          </w:tcPr>
          <w:p w:rsidR="00D81681" w:rsidRPr="008A74AA" w:rsidRDefault="00264AB8" w:rsidP="00DC1587">
            <w:pPr>
              <w:spacing w:line="276" w:lineRule="auto"/>
              <w:ind w:left="142"/>
            </w:pPr>
            <w:r>
              <w:t xml:space="preserve">Maria </w:t>
            </w:r>
            <w:proofErr w:type="spellStart"/>
            <w:r>
              <w:t>Valeryevna</w:t>
            </w:r>
            <w:proofErr w:type="spellEnd"/>
            <w:r>
              <w:t xml:space="preserve"> </w:t>
            </w:r>
            <w:proofErr w:type="spellStart"/>
            <w:r>
              <w:t>Lazareva</w:t>
            </w:r>
            <w:proofErr w:type="spellEnd"/>
            <w:r w:rsidR="00D81681" w:rsidRPr="008A74AA">
              <w:t> </w:t>
            </w:r>
          </w:p>
        </w:tc>
        <w:tc>
          <w:tcPr>
            <w:tcW w:w="5447" w:type="dxa"/>
            <w:tcBorders>
              <w:top w:val="nil"/>
              <w:left w:val="nil"/>
              <w:bottom w:val="single" w:sz="8" w:space="0" w:color="auto"/>
              <w:right w:val="single" w:sz="8" w:space="0" w:color="auto"/>
            </w:tcBorders>
            <w:noWrap/>
          </w:tcPr>
          <w:p w:rsidR="00D81681" w:rsidRPr="00F81336" w:rsidRDefault="007618C0" w:rsidP="00DC1587">
            <w:pPr>
              <w:spacing w:line="276" w:lineRule="auto"/>
              <w:rPr>
                <w:lang w:val="en-US"/>
              </w:rPr>
            </w:pPr>
            <w:r w:rsidRPr="007618C0">
              <w:rPr>
                <w:bCs/>
                <w:lang w:val="en-US"/>
              </w:rPr>
              <w:t>Member of the Board of Directors of IDGC of Centre</w:t>
            </w:r>
            <w:r w:rsidR="00D81681" w:rsidRPr="007618C0">
              <w:rPr>
                <w:bCs/>
                <w:lang w:val="en-US"/>
              </w:rPr>
              <w:t xml:space="preserve">, </w:t>
            </w:r>
            <w:r w:rsidR="00F81336" w:rsidRPr="00F81336">
              <w:rPr>
                <w:rStyle w:val="apple-style-span"/>
                <w:lang w:val="en-US"/>
              </w:rPr>
              <w:t>Director of Expert-Analytical Department of JSC «Russian Grids»</w:t>
            </w:r>
          </w:p>
        </w:tc>
      </w:tr>
      <w:tr w:rsidR="00D81681" w:rsidRPr="009505EE"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B214FD" w:rsidRDefault="00D81681" w:rsidP="006023BC">
            <w:pPr>
              <w:spacing w:line="276" w:lineRule="auto"/>
              <w:jc w:val="center"/>
            </w:pPr>
            <w:r w:rsidRPr="00B214FD">
              <w:t>7</w:t>
            </w:r>
          </w:p>
        </w:tc>
        <w:tc>
          <w:tcPr>
            <w:tcW w:w="3063" w:type="dxa"/>
            <w:gridSpan w:val="2"/>
            <w:tcBorders>
              <w:top w:val="nil"/>
              <w:left w:val="nil"/>
              <w:bottom w:val="single" w:sz="8" w:space="0" w:color="auto"/>
              <w:right w:val="single" w:sz="8" w:space="0" w:color="auto"/>
            </w:tcBorders>
            <w:noWrap/>
          </w:tcPr>
          <w:p w:rsidR="00D81681" w:rsidRPr="00B214FD" w:rsidRDefault="00264AB8" w:rsidP="00DC1587">
            <w:pPr>
              <w:spacing w:line="276" w:lineRule="auto"/>
              <w:ind w:left="142"/>
            </w:pPr>
            <w:r>
              <w:t xml:space="preserve">Maxim </w:t>
            </w:r>
            <w:proofErr w:type="spellStart"/>
            <w:r>
              <w:t>Mikhailovich</w:t>
            </w:r>
            <w:proofErr w:type="spellEnd"/>
            <w:r>
              <w:t xml:space="preserve"> </w:t>
            </w:r>
            <w:proofErr w:type="spellStart"/>
            <w:r>
              <w:t>Saukh</w:t>
            </w:r>
            <w:proofErr w:type="spellEnd"/>
          </w:p>
        </w:tc>
        <w:tc>
          <w:tcPr>
            <w:tcW w:w="5447" w:type="dxa"/>
            <w:tcBorders>
              <w:top w:val="nil"/>
              <w:left w:val="nil"/>
              <w:bottom w:val="single" w:sz="8" w:space="0" w:color="auto"/>
              <w:right w:val="single" w:sz="8" w:space="0" w:color="auto"/>
            </w:tcBorders>
            <w:noWrap/>
          </w:tcPr>
          <w:p w:rsidR="00D81681" w:rsidRPr="009505EE" w:rsidRDefault="007618C0" w:rsidP="009505EE">
            <w:pPr>
              <w:spacing w:line="276" w:lineRule="auto"/>
              <w:ind w:left="55"/>
              <w:rPr>
                <w:rStyle w:val="apple-style-span"/>
                <w:lang w:val="en-US"/>
              </w:rPr>
            </w:pPr>
            <w:r w:rsidRPr="009505EE">
              <w:rPr>
                <w:rStyle w:val="apple-style-span"/>
                <w:lang w:val="en-US"/>
              </w:rPr>
              <w:t>Member of the Board of Directors of IDGC of Centre</w:t>
            </w:r>
            <w:r w:rsidR="00D81681" w:rsidRPr="009505EE">
              <w:rPr>
                <w:rStyle w:val="apple-style-span"/>
                <w:lang w:val="en-US"/>
              </w:rPr>
              <w:t>,</w:t>
            </w:r>
            <w:r w:rsidR="00D81681" w:rsidRPr="00B214FD">
              <w:rPr>
                <w:rStyle w:val="apple-style-span"/>
              </w:rPr>
              <w:t> </w:t>
            </w:r>
            <w:r w:rsidR="00D81681" w:rsidRPr="009505EE">
              <w:rPr>
                <w:rStyle w:val="apple-style-span"/>
                <w:lang w:val="en-US"/>
              </w:rPr>
              <w:t xml:space="preserve"> </w:t>
            </w:r>
            <w:r w:rsidR="009505EE" w:rsidRPr="009505EE">
              <w:rPr>
                <w:rStyle w:val="apple-style-span"/>
                <w:lang w:val="en-US"/>
              </w:rPr>
              <w:t>Head of Corporate Governance Office of JSC «Russian Grids»</w:t>
            </w:r>
            <w:r w:rsidR="009505EE">
              <w:rPr>
                <w:rStyle w:val="apple-style-span"/>
                <w:lang w:val="en-US"/>
              </w:rPr>
              <w:t xml:space="preserve"> </w:t>
            </w:r>
          </w:p>
        </w:tc>
      </w:tr>
      <w:tr w:rsidR="00D81681" w:rsidRPr="007618C0"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B214FD" w:rsidRDefault="00D81681" w:rsidP="006023BC">
            <w:pPr>
              <w:spacing w:line="276" w:lineRule="auto"/>
              <w:jc w:val="center"/>
            </w:pPr>
            <w:r w:rsidRPr="00B214FD">
              <w:t>8</w:t>
            </w:r>
          </w:p>
        </w:tc>
        <w:tc>
          <w:tcPr>
            <w:tcW w:w="3063" w:type="dxa"/>
            <w:gridSpan w:val="2"/>
            <w:tcBorders>
              <w:top w:val="nil"/>
              <w:left w:val="nil"/>
              <w:bottom w:val="single" w:sz="8" w:space="0" w:color="auto"/>
              <w:right w:val="single" w:sz="8" w:space="0" w:color="auto"/>
            </w:tcBorders>
            <w:noWrap/>
          </w:tcPr>
          <w:p w:rsidR="00D81681" w:rsidRPr="00B214FD" w:rsidRDefault="00264AB8" w:rsidP="00DC1587">
            <w:pPr>
              <w:spacing w:line="276" w:lineRule="auto"/>
              <w:ind w:left="142"/>
            </w:pPr>
            <w:proofErr w:type="spellStart"/>
            <w:r>
              <w:t>Pavel</w:t>
            </w:r>
            <w:proofErr w:type="spellEnd"/>
            <w:r>
              <w:t xml:space="preserve"> Nikolayevich </w:t>
            </w:r>
            <w:proofErr w:type="spellStart"/>
            <w:r>
              <w:t>Snikkars</w:t>
            </w:r>
            <w:proofErr w:type="spellEnd"/>
          </w:p>
        </w:tc>
        <w:tc>
          <w:tcPr>
            <w:tcW w:w="5447" w:type="dxa"/>
            <w:tcBorders>
              <w:top w:val="nil"/>
              <w:left w:val="nil"/>
              <w:bottom w:val="single" w:sz="8" w:space="0" w:color="auto"/>
              <w:right w:val="single" w:sz="8" w:space="0" w:color="auto"/>
            </w:tcBorders>
            <w:noWrap/>
          </w:tcPr>
          <w:p w:rsidR="00D81681" w:rsidRPr="00FD0308" w:rsidRDefault="007618C0" w:rsidP="00DC1587">
            <w:pPr>
              <w:spacing w:line="276" w:lineRule="auto"/>
              <w:ind w:left="55"/>
              <w:rPr>
                <w:rStyle w:val="apple-style-span"/>
                <w:lang w:val="en-US"/>
              </w:rPr>
            </w:pPr>
            <w:r w:rsidRPr="007618C0">
              <w:rPr>
                <w:rStyle w:val="apple-style-span"/>
              </w:rPr>
              <w:t>Member of the Board of Directors of IDGC of Centre</w:t>
            </w:r>
            <w:r w:rsidR="00D81681" w:rsidRPr="007618C0">
              <w:rPr>
                <w:rStyle w:val="apple-style-span"/>
              </w:rPr>
              <w:t xml:space="preserve">, </w:t>
            </w:r>
            <w:r w:rsidR="00FD0308" w:rsidRPr="00FD0308">
              <w:rPr>
                <w:rStyle w:val="apple-style-span"/>
                <w:lang w:val="en-US"/>
              </w:rPr>
              <w:t>Director of Electric Power Industry Development Department of the Russian Ministry of Energy</w:t>
            </w:r>
          </w:p>
        </w:tc>
      </w:tr>
      <w:tr w:rsidR="00D81681" w:rsidRPr="007618C0"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B214FD" w:rsidRDefault="00D81681" w:rsidP="006023BC">
            <w:pPr>
              <w:spacing w:line="276" w:lineRule="auto"/>
              <w:jc w:val="center"/>
            </w:pPr>
            <w:r w:rsidRPr="00B214FD">
              <w:t>9</w:t>
            </w:r>
          </w:p>
        </w:tc>
        <w:tc>
          <w:tcPr>
            <w:tcW w:w="3063" w:type="dxa"/>
            <w:gridSpan w:val="2"/>
            <w:tcBorders>
              <w:top w:val="nil"/>
              <w:left w:val="nil"/>
              <w:bottom w:val="single" w:sz="8" w:space="0" w:color="auto"/>
              <w:right w:val="single" w:sz="8" w:space="0" w:color="auto"/>
            </w:tcBorders>
            <w:noWrap/>
          </w:tcPr>
          <w:p w:rsidR="00D81681" w:rsidRPr="00B214FD" w:rsidRDefault="00B92DA3" w:rsidP="00DC1587">
            <w:pPr>
              <w:spacing w:line="276" w:lineRule="auto"/>
              <w:ind w:left="142"/>
            </w:pPr>
            <w:r>
              <w:t xml:space="preserve">Vladimir </w:t>
            </w:r>
            <w:proofErr w:type="spellStart"/>
            <w:r>
              <w:t>Vladimirovich</w:t>
            </w:r>
            <w:proofErr w:type="spellEnd"/>
            <w:r>
              <w:t xml:space="preserve"> </w:t>
            </w:r>
            <w:proofErr w:type="spellStart"/>
            <w:r>
              <w:t>Sofyin</w:t>
            </w:r>
            <w:proofErr w:type="spellEnd"/>
          </w:p>
        </w:tc>
        <w:tc>
          <w:tcPr>
            <w:tcW w:w="5447" w:type="dxa"/>
            <w:tcBorders>
              <w:top w:val="nil"/>
              <w:left w:val="nil"/>
              <w:bottom w:val="single" w:sz="8" w:space="0" w:color="auto"/>
              <w:right w:val="single" w:sz="8" w:space="0" w:color="auto"/>
            </w:tcBorders>
            <w:noWrap/>
          </w:tcPr>
          <w:p w:rsidR="00D81681" w:rsidRPr="007618C0" w:rsidRDefault="007618C0" w:rsidP="00FD0308">
            <w:pPr>
              <w:spacing w:line="276" w:lineRule="auto"/>
              <w:ind w:left="55"/>
              <w:rPr>
                <w:rStyle w:val="apple-style-span"/>
              </w:rPr>
            </w:pPr>
            <w:r w:rsidRPr="007618C0">
              <w:rPr>
                <w:rStyle w:val="apple-style-span"/>
              </w:rPr>
              <w:t>Member of the Board of Directors of IDGC of Centre</w:t>
            </w:r>
            <w:r w:rsidR="00D81681" w:rsidRPr="007618C0">
              <w:rPr>
                <w:rStyle w:val="apple-style-span"/>
              </w:rPr>
              <w:t xml:space="preserve">, </w:t>
            </w:r>
            <w:r w:rsidR="00FD0308" w:rsidRPr="00FD0308">
              <w:rPr>
                <w:rStyle w:val="apple-style-span"/>
                <w:lang w:val="en-US"/>
              </w:rPr>
              <w:t>Director of Technology Development and Innovation Department of JSC «Russian Grids»</w:t>
            </w:r>
            <w:r w:rsidR="00FD0308">
              <w:rPr>
                <w:rStyle w:val="apple-style-span"/>
                <w:lang w:val="en-US"/>
              </w:rPr>
              <w:t xml:space="preserve"> </w:t>
            </w:r>
          </w:p>
        </w:tc>
      </w:tr>
      <w:tr w:rsidR="00D81681" w:rsidRPr="005E5571" w:rsidTr="00DC1587">
        <w:trPr>
          <w:cantSplit/>
          <w:trHeight w:val="240"/>
        </w:trPr>
        <w:tc>
          <w:tcPr>
            <w:tcW w:w="851" w:type="dxa"/>
            <w:tcBorders>
              <w:top w:val="nil"/>
              <w:left w:val="single" w:sz="8" w:space="0" w:color="auto"/>
              <w:bottom w:val="single" w:sz="8" w:space="0" w:color="auto"/>
              <w:right w:val="single" w:sz="8" w:space="0" w:color="auto"/>
            </w:tcBorders>
            <w:vAlign w:val="center"/>
          </w:tcPr>
          <w:p w:rsidR="00D81681" w:rsidRPr="00B214FD" w:rsidRDefault="00D81681" w:rsidP="006023BC">
            <w:pPr>
              <w:spacing w:line="276" w:lineRule="auto"/>
              <w:jc w:val="center"/>
            </w:pPr>
            <w:r w:rsidRPr="00B214FD">
              <w:t>10</w:t>
            </w:r>
          </w:p>
        </w:tc>
        <w:tc>
          <w:tcPr>
            <w:tcW w:w="3063" w:type="dxa"/>
            <w:gridSpan w:val="2"/>
            <w:tcBorders>
              <w:top w:val="nil"/>
              <w:left w:val="nil"/>
              <w:bottom w:val="single" w:sz="8" w:space="0" w:color="auto"/>
              <w:right w:val="single" w:sz="8" w:space="0" w:color="auto"/>
            </w:tcBorders>
            <w:noWrap/>
          </w:tcPr>
          <w:p w:rsidR="00D81681" w:rsidRPr="00B214FD" w:rsidRDefault="00264AB8" w:rsidP="00DC1587">
            <w:pPr>
              <w:spacing w:line="276" w:lineRule="auto"/>
              <w:ind w:left="142"/>
            </w:pPr>
            <w:r>
              <w:t xml:space="preserve">Roman </w:t>
            </w:r>
            <w:proofErr w:type="spellStart"/>
            <w:r>
              <w:t>Alexeyevich</w:t>
            </w:r>
            <w:proofErr w:type="spellEnd"/>
            <w:r>
              <w:t xml:space="preserve"> </w:t>
            </w:r>
            <w:proofErr w:type="spellStart"/>
            <w:r>
              <w:t>Filkin</w:t>
            </w:r>
            <w:proofErr w:type="spellEnd"/>
          </w:p>
        </w:tc>
        <w:tc>
          <w:tcPr>
            <w:tcW w:w="5447" w:type="dxa"/>
            <w:tcBorders>
              <w:top w:val="nil"/>
              <w:left w:val="nil"/>
              <w:bottom w:val="single" w:sz="8" w:space="0" w:color="auto"/>
              <w:right w:val="single" w:sz="8" w:space="0" w:color="auto"/>
            </w:tcBorders>
            <w:noWrap/>
          </w:tcPr>
          <w:p w:rsidR="00D81681" w:rsidRPr="005E5571" w:rsidRDefault="007618C0" w:rsidP="00DC1587">
            <w:pPr>
              <w:spacing w:line="276" w:lineRule="auto"/>
              <w:ind w:left="55"/>
              <w:rPr>
                <w:rStyle w:val="apple-style-span"/>
                <w:lang w:val="en-US"/>
              </w:rPr>
            </w:pPr>
            <w:r w:rsidRPr="005E5571">
              <w:rPr>
                <w:rStyle w:val="apple-style-span"/>
                <w:lang w:val="en-US"/>
              </w:rPr>
              <w:t>Member of the Board of Directors of IDGC of Centre</w:t>
            </w:r>
            <w:r w:rsidR="00D81681" w:rsidRPr="005E5571">
              <w:rPr>
                <w:rStyle w:val="apple-style-span"/>
                <w:lang w:val="en-US"/>
              </w:rPr>
              <w:t>,</w:t>
            </w:r>
            <w:r w:rsidR="00D81681" w:rsidRPr="00B214FD">
              <w:rPr>
                <w:rStyle w:val="apple-style-span"/>
              </w:rPr>
              <w:t> </w:t>
            </w:r>
            <w:r w:rsidR="00D81681" w:rsidRPr="005E5571">
              <w:rPr>
                <w:rStyle w:val="apple-style-span"/>
                <w:lang w:val="en-US"/>
              </w:rPr>
              <w:t xml:space="preserve"> </w:t>
            </w:r>
            <w:r w:rsidR="005E5571" w:rsidRPr="005E5571">
              <w:rPr>
                <w:rStyle w:val="apple-style-span"/>
                <w:lang w:val="en-US"/>
              </w:rPr>
              <w:t>Representative Office of Prosperity Capital Management (Russian Federation) Ltd., Co-Director, power engineering, machine building</w:t>
            </w:r>
          </w:p>
        </w:tc>
      </w:tr>
      <w:tr w:rsidR="00D81681" w:rsidRPr="006256FE" w:rsidTr="00DC1587">
        <w:trPr>
          <w:cantSplit/>
          <w:trHeight w:val="240"/>
        </w:trPr>
        <w:tc>
          <w:tcPr>
            <w:tcW w:w="851" w:type="dxa"/>
            <w:tcBorders>
              <w:top w:val="nil"/>
              <w:left w:val="single" w:sz="8" w:space="0" w:color="auto"/>
              <w:bottom w:val="single" w:sz="8" w:space="0" w:color="auto"/>
              <w:right w:val="single" w:sz="8" w:space="0" w:color="auto"/>
            </w:tcBorders>
            <w:vAlign w:val="center"/>
            <w:hideMark/>
          </w:tcPr>
          <w:p w:rsidR="00D81681" w:rsidRPr="00B214FD" w:rsidRDefault="00D81681" w:rsidP="006023BC">
            <w:pPr>
              <w:spacing w:line="276" w:lineRule="auto"/>
              <w:jc w:val="center"/>
            </w:pPr>
            <w:r w:rsidRPr="00B214FD">
              <w:t>11</w:t>
            </w:r>
          </w:p>
        </w:tc>
        <w:tc>
          <w:tcPr>
            <w:tcW w:w="3063" w:type="dxa"/>
            <w:gridSpan w:val="2"/>
            <w:tcBorders>
              <w:top w:val="nil"/>
              <w:left w:val="nil"/>
              <w:bottom w:val="single" w:sz="8" w:space="0" w:color="auto"/>
              <w:right w:val="single" w:sz="8" w:space="0" w:color="auto"/>
            </w:tcBorders>
            <w:noWrap/>
          </w:tcPr>
          <w:p w:rsidR="00D81681" w:rsidRPr="00B214FD" w:rsidRDefault="00264AB8" w:rsidP="00DC1587">
            <w:pPr>
              <w:spacing w:line="276" w:lineRule="auto"/>
              <w:ind w:left="142"/>
            </w:pPr>
            <w:r>
              <w:t xml:space="preserve">Natalia </w:t>
            </w:r>
            <w:proofErr w:type="spellStart"/>
            <w:r>
              <w:t>Ilyinichna</w:t>
            </w:r>
            <w:proofErr w:type="spellEnd"/>
            <w:r>
              <w:t xml:space="preserve"> </w:t>
            </w:r>
            <w:proofErr w:type="spellStart"/>
            <w:r>
              <w:t>Erpsher</w:t>
            </w:r>
            <w:proofErr w:type="spellEnd"/>
          </w:p>
        </w:tc>
        <w:tc>
          <w:tcPr>
            <w:tcW w:w="5447" w:type="dxa"/>
            <w:tcBorders>
              <w:top w:val="nil"/>
              <w:left w:val="nil"/>
              <w:bottom w:val="single" w:sz="8" w:space="0" w:color="auto"/>
              <w:right w:val="single" w:sz="8" w:space="0" w:color="auto"/>
            </w:tcBorders>
            <w:noWrap/>
          </w:tcPr>
          <w:p w:rsidR="00D81681" w:rsidRPr="006256FE" w:rsidRDefault="007618C0" w:rsidP="00DC1587">
            <w:pPr>
              <w:spacing w:line="276" w:lineRule="auto"/>
              <w:ind w:left="55"/>
              <w:rPr>
                <w:rStyle w:val="apple-style-span"/>
                <w:lang w:val="en-US"/>
              </w:rPr>
            </w:pPr>
            <w:r w:rsidRPr="006256FE">
              <w:rPr>
                <w:rStyle w:val="apple-style-span"/>
                <w:lang w:val="en-US"/>
              </w:rPr>
              <w:t>Member of the Board of Directors of IDGC of Centre</w:t>
            </w:r>
            <w:r w:rsidR="00D81681" w:rsidRPr="006256FE">
              <w:rPr>
                <w:rStyle w:val="apple-style-span"/>
                <w:lang w:val="en-US"/>
              </w:rPr>
              <w:t xml:space="preserve">, </w:t>
            </w:r>
            <w:r w:rsidR="006256FE" w:rsidRPr="006256FE">
              <w:rPr>
                <w:rStyle w:val="apple-style-span"/>
                <w:lang w:val="en-US"/>
              </w:rPr>
              <w:t xml:space="preserve">Head of Organizational Development Office of Personnel Policy and Organizational Development Department </w:t>
            </w:r>
            <w:r w:rsidR="006256FE" w:rsidRPr="00FD0308">
              <w:rPr>
                <w:rStyle w:val="apple-style-span"/>
                <w:lang w:val="en-US"/>
              </w:rPr>
              <w:t>of JSC «Russian Grids»</w:t>
            </w:r>
          </w:p>
        </w:tc>
      </w:tr>
      <w:tr w:rsidR="00D81681" w:rsidRPr="000526A8" w:rsidTr="00DC1587">
        <w:trPr>
          <w:cantSplit/>
          <w:trHeight w:val="240"/>
        </w:trPr>
        <w:tc>
          <w:tcPr>
            <w:tcW w:w="9361" w:type="dxa"/>
            <w:gridSpan w:val="4"/>
            <w:tcBorders>
              <w:top w:val="nil"/>
              <w:left w:val="single" w:sz="8" w:space="0" w:color="auto"/>
              <w:bottom w:val="single" w:sz="8" w:space="0" w:color="auto"/>
              <w:right w:val="single" w:sz="8" w:space="0" w:color="auto"/>
            </w:tcBorders>
            <w:hideMark/>
          </w:tcPr>
          <w:p w:rsidR="00D81681" w:rsidRPr="000526A8" w:rsidRDefault="000526A8" w:rsidP="00DC1587">
            <w:pPr>
              <w:jc w:val="center"/>
              <w:rPr>
                <w:b/>
                <w:bCs/>
                <w:lang w:val="en-US"/>
              </w:rPr>
            </w:pPr>
            <w:r w:rsidRPr="00FA36E7">
              <w:rPr>
                <w:b/>
                <w:lang w:val="en-US"/>
              </w:rPr>
              <w:t>Collegial Executive Body – Management Board from</w:t>
            </w:r>
            <w:r w:rsidR="00D81681" w:rsidRPr="000526A8">
              <w:rPr>
                <w:b/>
                <w:bCs/>
                <w:lang w:val="en-US"/>
              </w:rPr>
              <w:t xml:space="preserve"> 15.10.2014 </w:t>
            </w:r>
          </w:p>
          <w:p w:rsidR="00D81681" w:rsidRPr="000526A8" w:rsidRDefault="00D81681" w:rsidP="000526A8">
            <w:pPr>
              <w:jc w:val="center"/>
              <w:rPr>
                <w:lang w:val="en-US"/>
              </w:rPr>
            </w:pPr>
            <w:r w:rsidRPr="000526A8">
              <w:rPr>
                <w:b/>
                <w:bCs/>
                <w:lang w:val="en-US"/>
              </w:rPr>
              <w:t>(</w:t>
            </w:r>
            <w:r w:rsidR="000526A8" w:rsidRPr="00FA36E7">
              <w:rPr>
                <w:b/>
                <w:lang w:val="en-US"/>
              </w:rPr>
              <w:t>Minutes of the Board of Directors #</w:t>
            </w:r>
            <w:r w:rsidR="000526A8">
              <w:rPr>
                <w:b/>
                <w:lang w:val="en-US"/>
              </w:rPr>
              <w:t xml:space="preserve"> </w:t>
            </w:r>
            <w:r w:rsidR="000526A8" w:rsidRPr="000526A8">
              <w:rPr>
                <w:b/>
                <w:bCs/>
                <w:lang w:val="en-US"/>
              </w:rPr>
              <w:t>23/14</w:t>
            </w:r>
            <w:r w:rsidR="000526A8">
              <w:rPr>
                <w:b/>
                <w:bCs/>
                <w:lang w:val="en-US"/>
              </w:rPr>
              <w:t xml:space="preserve"> of </w:t>
            </w:r>
            <w:r w:rsidRPr="000526A8">
              <w:rPr>
                <w:b/>
                <w:bCs/>
                <w:lang w:val="en-US"/>
              </w:rPr>
              <w:t>16.10.2014)</w:t>
            </w:r>
          </w:p>
        </w:tc>
      </w:tr>
      <w:tr w:rsidR="00D81681" w:rsidRPr="00B926BC"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A31581" w:rsidRDefault="00D81681" w:rsidP="00DC1587">
            <w:pPr>
              <w:spacing w:line="276" w:lineRule="auto"/>
              <w:jc w:val="center"/>
            </w:pPr>
            <w:r w:rsidRPr="00A31581">
              <w:t>1</w:t>
            </w:r>
          </w:p>
        </w:tc>
        <w:tc>
          <w:tcPr>
            <w:tcW w:w="3063" w:type="dxa"/>
            <w:gridSpan w:val="2"/>
            <w:tcBorders>
              <w:top w:val="nil"/>
              <w:left w:val="nil"/>
              <w:bottom w:val="single" w:sz="8" w:space="0" w:color="auto"/>
              <w:right w:val="single" w:sz="8" w:space="0" w:color="auto"/>
            </w:tcBorders>
            <w:noWrap/>
            <w:hideMark/>
          </w:tcPr>
          <w:p w:rsidR="00D81681" w:rsidRPr="00A31581" w:rsidRDefault="00264AB8" w:rsidP="00DC1587">
            <w:pPr>
              <w:spacing w:line="276" w:lineRule="auto"/>
              <w:ind w:left="113"/>
            </w:pPr>
            <w:r>
              <w:t xml:space="preserve">Oleg </w:t>
            </w:r>
            <w:proofErr w:type="spellStart"/>
            <w:r>
              <w:t>Yuryevich</w:t>
            </w:r>
            <w:proofErr w:type="spellEnd"/>
            <w:r>
              <w:t xml:space="preserve"> </w:t>
            </w:r>
            <w:proofErr w:type="spellStart"/>
            <w:r>
              <w:t>Isaev</w:t>
            </w:r>
            <w:proofErr w:type="spellEnd"/>
            <w:r w:rsidR="00D81681" w:rsidRPr="00A31581">
              <w:t xml:space="preserve"> </w:t>
            </w:r>
          </w:p>
        </w:tc>
        <w:tc>
          <w:tcPr>
            <w:tcW w:w="5447" w:type="dxa"/>
            <w:tcBorders>
              <w:top w:val="nil"/>
              <w:left w:val="nil"/>
              <w:bottom w:val="single" w:sz="8" w:space="0" w:color="auto"/>
              <w:right w:val="single" w:sz="8" w:space="0" w:color="auto"/>
            </w:tcBorders>
            <w:noWrap/>
            <w:hideMark/>
          </w:tcPr>
          <w:p w:rsidR="00D81681" w:rsidRPr="00B926BC" w:rsidRDefault="00B926BC" w:rsidP="00DC1587">
            <w:pPr>
              <w:spacing w:line="276" w:lineRule="auto"/>
              <w:ind w:left="57"/>
              <w:rPr>
                <w:lang w:val="en-US"/>
              </w:rPr>
            </w:pPr>
            <w:r w:rsidRPr="00FA36E7">
              <w:rPr>
                <w:lang w:val="en-US"/>
              </w:rPr>
              <w:t>Chairman of the Management Board, General Director of IDGC of Centre</w:t>
            </w:r>
          </w:p>
        </w:tc>
      </w:tr>
      <w:tr w:rsidR="00B926BC" w:rsidRPr="00B926BC" w:rsidTr="00DC1587">
        <w:trPr>
          <w:cantSplit/>
          <w:trHeight w:val="240"/>
        </w:trPr>
        <w:tc>
          <w:tcPr>
            <w:tcW w:w="851" w:type="dxa"/>
            <w:tcBorders>
              <w:top w:val="nil"/>
              <w:left w:val="single" w:sz="8" w:space="0" w:color="auto"/>
              <w:bottom w:val="single" w:sz="8" w:space="0" w:color="auto"/>
              <w:right w:val="single" w:sz="8" w:space="0" w:color="auto"/>
            </w:tcBorders>
            <w:hideMark/>
          </w:tcPr>
          <w:p w:rsidR="00B926BC" w:rsidRPr="00805E0C" w:rsidRDefault="00B926BC" w:rsidP="00DC1587">
            <w:pPr>
              <w:spacing w:line="276" w:lineRule="auto"/>
              <w:jc w:val="center"/>
            </w:pPr>
            <w:r w:rsidRPr="00805E0C">
              <w:t>2</w:t>
            </w:r>
          </w:p>
        </w:tc>
        <w:tc>
          <w:tcPr>
            <w:tcW w:w="3063" w:type="dxa"/>
            <w:gridSpan w:val="2"/>
            <w:tcBorders>
              <w:top w:val="nil"/>
              <w:left w:val="nil"/>
              <w:bottom w:val="single" w:sz="8" w:space="0" w:color="auto"/>
              <w:right w:val="single" w:sz="8" w:space="0" w:color="auto"/>
            </w:tcBorders>
            <w:noWrap/>
          </w:tcPr>
          <w:p w:rsidR="00B926BC" w:rsidRPr="00836721" w:rsidRDefault="00B926BC" w:rsidP="007C4502">
            <w:pPr>
              <w:spacing w:line="276" w:lineRule="auto"/>
              <w:ind w:left="113"/>
              <w:rPr>
                <w:lang w:val="ru-RU"/>
              </w:rPr>
            </w:pPr>
            <w:proofErr w:type="spellStart"/>
            <w:r w:rsidRPr="00FA36E7">
              <w:rPr>
                <w:lang w:val="ru-RU"/>
              </w:rPr>
              <w:t>Ivan</w:t>
            </w:r>
            <w:proofErr w:type="spellEnd"/>
            <w:r w:rsidRPr="00FA36E7">
              <w:rPr>
                <w:lang w:val="ru-RU"/>
              </w:rPr>
              <w:t xml:space="preserve"> </w:t>
            </w:r>
            <w:proofErr w:type="spellStart"/>
            <w:r w:rsidRPr="00FA36E7">
              <w:rPr>
                <w:lang w:val="ru-RU"/>
              </w:rPr>
              <w:t>Petrovich</w:t>
            </w:r>
            <w:proofErr w:type="spellEnd"/>
            <w:r w:rsidRPr="00FA36E7">
              <w:rPr>
                <w:lang w:val="ru-RU"/>
              </w:rPr>
              <w:t xml:space="preserve"> </w:t>
            </w:r>
            <w:proofErr w:type="spellStart"/>
            <w:r w:rsidRPr="00FA36E7">
              <w:rPr>
                <w:lang w:val="ru-RU"/>
              </w:rPr>
              <w:t>Kleymenov</w:t>
            </w:r>
            <w:proofErr w:type="spellEnd"/>
            <w:r w:rsidRPr="00FA36E7">
              <w:rPr>
                <w:lang w:val="ru-RU"/>
              </w:rPr>
              <w:t xml:space="preserve"> </w:t>
            </w:r>
          </w:p>
        </w:tc>
        <w:tc>
          <w:tcPr>
            <w:tcW w:w="5447" w:type="dxa"/>
            <w:tcBorders>
              <w:top w:val="nil"/>
              <w:left w:val="nil"/>
              <w:bottom w:val="single" w:sz="8" w:space="0" w:color="auto"/>
              <w:right w:val="single" w:sz="8" w:space="0" w:color="auto"/>
            </w:tcBorders>
            <w:noWrap/>
          </w:tcPr>
          <w:p w:rsidR="00B926BC" w:rsidRPr="00B926BC" w:rsidRDefault="00B926BC" w:rsidP="00DC1587">
            <w:pPr>
              <w:spacing w:line="276" w:lineRule="auto"/>
              <w:ind w:left="57"/>
              <w:rPr>
                <w:lang w:val="en-US"/>
              </w:rPr>
            </w:pPr>
            <w:r w:rsidRPr="00F0303B">
              <w:rPr>
                <w:lang w:val="en-US"/>
              </w:rPr>
              <w:t>Member of the Management Board of IDGC of Centre, General Director - Director of the branch of IDGC of Centre - «</w:t>
            </w:r>
            <w:proofErr w:type="spellStart"/>
            <w:r w:rsidRPr="00F0303B">
              <w:rPr>
                <w:lang w:val="en-US"/>
              </w:rPr>
              <w:t>Voronezhenergo</w:t>
            </w:r>
            <w:proofErr w:type="spellEnd"/>
            <w:r w:rsidRPr="00F0303B">
              <w:rPr>
                <w:lang w:val="en-US"/>
              </w:rPr>
              <w:t>»</w:t>
            </w:r>
          </w:p>
        </w:tc>
      </w:tr>
      <w:tr w:rsidR="00B926BC" w:rsidRPr="00B926BC" w:rsidTr="00DC1587">
        <w:trPr>
          <w:cantSplit/>
          <w:trHeight w:val="240"/>
        </w:trPr>
        <w:tc>
          <w:tcPr>
            <w:tcW w:w="851" w:type="dxa"/>
            <w:tcBorders>
              <w:top w:val="nil"/>
              <w:left w:val="single" w:sz="8" w:space="0" w:color="auto"/>
              <w:bottom w:val="single" w:sz="8" w:space="0" w:color="auto"/>
              <w:right w:val="single" w:sz="8" w:space="0" w:color="auto"/>
            </w:tcBorders>
            <w:hideMark/>
          </w:tcPr>
          <w:p w:rsidR="00B926BC" w:rsidRPr="00805E0C" w:rsidRDefault="00B926BC" w:rsidP="00DC1587">
            <w:pPr>
              <w:spacing w:line="276" w:lineRule="auto"/>
              <w:jc w:val="center"/>
            </w:pPr>
            <w:r w:rsidRPr="00805E0C">
              <w:t>3</w:t>
            </w:r>
          </w:p>
        </w:tc>
        <w:tc>
          <w:tcPr>
            <w:tcW w:w="3063" w:type="dxa"/>
            <w:gridSpan w:val="2"/>
            <w:tcBorders>
              <w:top w:val="nil"/>
              <w:left w:val="nil"/>
              <w:bottom w:val="single" w:sz="8" w:space="0" w:color="auto"/>
              <w:right w:val="single" w:sz="8" w:space="0" w:color="auto"/>
            </w:tcBorders>
            <w:noWrap/>
          </w:tcPr>
          <w:p w:rsidR="00B926BC" w:rsidRPr="00836721" w:rsidRDefault="00B926BC" w:rsidP="007C4502">
            <w:pPr>
              <w:spacing w:line="276" w:lineRule="auto"/>
              <w:ind w:left="113"/>
              <w:rPr>
                <w:lang w:val="ru-RU"/>
              </w:rPr>
            </w:pPr>
            <w:proofErr w:type="spellStart"/>
            <w:r w:rsidRPr="00001127">
              <w:rPr>
                <w:lang w:val="ru-RU"/>
              </w:rPr>
              <w:t>Artem</w:t>
            </w:r>
            <w:proofErr w:type="spellEnd"/>
            <w:r w:rsidRPr="00001127">
              <w:rPr>
                <w:lang w:val="ru-RU"/>
              </w:rPr>
              <w:t xml:space="preserve"> </w:t>
            </w:r>
            <w:proofErr w:type="spellStart"/>
            <w:r w:rsidRPr="00001127">
              <w:rPr>
                <w:lang w:val="ru-RU"/>
              </w:rPr>
              <w:t>Evgenyevich</w:t>
            </w:r>
            <w:proofErr w:type="spellEnd"/>
            <w:r w:rsidRPr="00001127">
              <w:rPr>
                <w:lang w:val="ru-RU"/>
              </w:rPr>
              <w:t xml:space="preserve"> </w:t>
            </w:r>
            <w:proofErr w:type="spellStart"/>
            <w:r w:rsidRPr="00001127">
              <w:rPr>
                <w:lang w:val="ru-RU"/>
              </w:rPr>
              <w:t>Kuranov</w:t>
            </w:r>
            <w:proofErr w:type="spellEnd"/>
          </w:p>
        </w:tc>
        <w:tc>
          <w:tcPr>
            <w:tcW w:w="5447" w:type="dxa"/>
            <w:tcBorders>
              <w:top w:val="nil"/>
              <w:left w:val="nil"/>
              <w:bottom w:val="single" w:sz="8" w:space="0" w:color="auto"/>
              <w:right w:val="single" w:sz="8" w:space="0" w:color="auto"/>
            </w:tcBorders>
            <w:noWrap/>
          </w:tcPr>
          <w:p w:rsidR="00B926BC" w:rsidRPr="00B926BC" w:rsidRDefault="00B926BC" w:rsidP="00DC1587">
            <w:pPr>
              <w:spacing w:line="276" w:lineRule="auto"/>
              <w:ind w:left="57"/>
              <w:rPr>
                <w:lang w:val="en-US"/>
              </w:rPr>
            </w:pPr>
            <w:r w:rsidRPr="00001127">
              <w:rPr>
                <w:lang w:val="en-US"/>
              </w:rPr>
              <w:t>Member of the Management Board, First Deputy General Director of IDGC of Centre</w:t>
            </w:r>
          </w:p>
        </w:tc>
      </w:tr>
      <w:tr w:rsidR="00B926BC" w:rsidRPr="00B926BC" w:rsidTr="00DC1587">
        <w:trPr>
          <w:cantSplit/>
          <w:trHeight w:val="240"/>
        </w:trPr>
        <w:tc>
          <w:tcPr>
            <w:tcW w:w="851" w:type="dxa"/>
            <w:tcBorders>
              <w:top w:val="nil"/>
              <w:left w:val="single" w:sz="8" w:space="0" w:color="auto"/>
              <w:bottom w:val="single" w:sz="8" w:space="0" w:color="auto"/>
              <w:right w:val="single" w:sz="8" w:space="0" w:color="auto"/>
            </w:tcBorders>
            <w:hideMark/>
          </w:tcPr>
          <w:p w:rsidR="00B926BC" w:rsidRPr="00805E0C" w:rsidRDefault="00B926BC" w:rsidP="00DC1587">
            <w:pPr>
              <w:spacing w:line="276" w:lineRule="auto"/>
              <w:jc w:val="center"/>
            </w:pPr>
            <w:r w:rsidRPr="00805E0C">
              <w:t>4</w:t>
            </w:r>
          </w:p>
        </w:tc>
        <w:tc>
          <w:tcPr>
            <w:tcW w:w="3063" w:type="dxa"/>
            <w:gridSpan w:val="2"/>
            <w:tcBorders>
              <w:top w:val="nil"/>
              <w:left w:val="nil"/>
              <w:bottom w:val="single" w:sz="8" w:space="0" w:color="auto"/>
              <w:right w:val="single" w:sz="8" w:space="0" w:color="auto"/>
            </w:tcBorders>
            <w:noWrap/>
          </w:tcPr>
          <w:p w:rsidR="00B926BC" w:rsidRPr="00836721" w:rsidRDefault="00B926BC" w:rsidP="007C4502">
            <w:pPr>
              <w:spacing w:line="276" w:lineRule="auto"/>
              <w:ind w:left="113"/>
              <w:rPr>
                <w:lang w:val="ru-RU"/>
              </w:rPr>
            </w:pPr>
            <w:proofErr w:type="spellStart"/>
            <w:r w:rsidRPr="00001127">
              <w:rPr>
                <w:lang w:val="ru-RU"/>
              </w:rPr>
              <w:t>Igor</w:t>
            </w:r>
            <w:proofErr w:type="spellEnd"/>
            <w:r w:rsidRPr="00001127">
              <w:rPr>
                <w:lang w:val="ru-RU"/>
              </w:rPr>
              <w:t xml:space="preserve"> </w:t>
            </w:r>
            <w:proofErr w:type="spellStart"/>
            <w:r w:rsidRPr="00001127">
              <w:rPr>
                <w:lang w:val="ru-RU"/>
              </w:rPr>
              <w:t>Viktorovich</w:t>
            </w:r>
            <w:proofErr w:type="spellEnd"/>
            <w:r w:rsidRPr="00001127">
              <w:rPr>
                <w:lang w:val="ru-RU"/>
              </w:rPr>
              <w:t xml:space="preserve"> </w:t>
            </w:r>
            <w:proofErr w:type="spellStart"/>
            <w:r w:rsidRPr="00001127">
              <w:rPr>
                <w:lang w:val="ru-RU"/>
              </w:rPr>
              <w:t>Maximov</w:t>
            </w:r>
            <w:proofErr w:type="spellEnd"/>
          </w:p>
        </w:tc>
        <w:tc>
          <w:tcPr>
            <w:tcW w:w="5447" w:type="dxa"/>
            <w:tcBorders>
              <w:top w:val="nil"/>
              <w:left w:val="nil"/>
              <w:bottom w:val="single" w:sz="8" w:space="0" w:color="auto"/>
              <w:right w:val="single" w:sz="8" w:space="0" w:color="auto"/>
            </w:tcBorders>
            <w:noWrap/>
          </w:tcPr>
          <w:p w:rsidR="00B926BC" w:rsidRPr="00726828" w:rsidRDefault="00B926BC" w:rsidP="00B926BC">
            <w:pPr>
              <w:spacing w:line="276" w:lineRule="auto"/>
              <w:ind w:left="57"/>
              <w:rPr>
                <w:lang w:val="en-US"/>
              </w:rPr>
            </w:pPr>
            <w:r w:rsidRPr="00001127">
              <w:rPr>
                <w:lang w:val="en-US"/>
              </w:rPr>
              <w:t>Member</w:t>
            </w:r>
            <w:r w:rsidRPr="00726828">
              <w:rPr>
                <w:lang w:val="en-US"/>
              </w:rPr>
              <w:t xml:space="preserve"> </w:t>
            </w:r>
            <w:r w:rsidRPr="00001127">
              <w:rPr>
                <w:lang w:val="en-US"/>
              </w:rPr>
              <w:t>of</w:t>
            </w:r>
            <w:r w:rsidRPr="00726828">
              <w:rPr>
                <w:lang w:val="en-US"/>
              </w:rPr>
              <w:t xml:space="preserve"> </w:t>
            </w:r>
            <w:r w:rsidRPr="00001127">
              <w:rPr>
                <w:lang w:val="en-US"/>
              </w:rPr>
              <w:t>the</w:t>
            </w:r>
            <w:r w:rsidRPr="00726828">
              <w:rPr>
                <w:lang w:val="en-US"/>
              </w:rPr>
              <w:t xml:space="preserve"> </w:t>
            </w:r>
            <w:r w:rsidRPr="00001127">
              <w:rPr>
                <w:lang w:val="en-US"/>
              </w:rPr>
              <w:t>Management</w:t>
            </w:r>
            <w:r w:rsidRPr="00726828">
              <w:rPr>
                <w:lang w:val="en-US"/>
              </w:rPr>
              <w:t xml:space="preserve"> </w:t>
            </w:r>
            <w:r w:rsidRPr="00001127">
              <w:rPr>
                <w:lang w:val="en-US"/>
              </w:rPr>
              <w:t>Board</w:t>
            </w:r>
            <w:r w:rsidRPr="00726828">
              <w:rPr>
                <w:lang w:val="en-US"/>
              </w:rPr>
              <w:t xml:space="preserve">, </w:t>
            </w:r>
            <w:r w:rsidRPr="00001127">
              <w:rPr>
                <w:lang w:val="en-US"/>
              </w:rPr>
              <w:t>Deputy</w:t>
            </w:r>
            <w:r w:rsidRPr="00726828">
              <w:rPr>
                <w:lang w:val="en-US"/>
              </w:rPr>
              <w:t xml:space="preserve"> </w:t>
            </w:r>
            <w:r w:rsidRPr="00001127">
              <w:rPr>
                <w:lang w:val="en-US"/>
              </w:rPr>
              <w:t>General</w:t>
            </w:r>
            <w:r w:rsidRPr="00726828">
              <w:rPr>
                <w:lang w:val="en-US"/>
              </w:rPr>
              <w:t xml:space="preserve"> </w:t>
            </w:r>
            <w:r w:rsidRPr="00001127">
              <w:rPr>
                <w:lang w:val="en-US"/>
              </w:rPr>
              <w:t>Director</w:t>
            </w:r>
            <w:r w:rsidRPr="00726828">
              <w:rPr>
                <w:lang w:val="en-US"/>
              </w:rPr>
              <w:t xml:space="preserve"> </w:t>
            </w:r>
            <w:r w:rsidRPr="00001127">
              <w:rPr>
                <w:lang w:val="en-US"/>
              </w:rPr>
              <w:t>for</w:t>
            </w:r>
            <w:r w:rsidRPr="00726828">
              <w:rPr>
                <w:lang w:val="en-US"/>
              </w:rPr>
              <w:t xml:space="preserve"> </w:t>
            </w:r>
            <w:r w:rsidRPr="00001127">
              <w:rPr>
                <w:lang w:val="en-US"/>
              </w:rPr>
              <w:t>Capital</w:t>
            </w:r>
            <w:r w:rsidRPr="00726828">
              <w:rPr>
                <w:lang w:val="en-US"/>
              </w:rPr>
              <w:t xml:space="preserve"> </w:t>
            </w:r>
            <w:r w:rsidRPr="00001127">
              <w:rPr>
                <w:lang w:val="en-US"/>
              </w:rPr>
              <w:t>Construction</w:t>
            </w:r>
            <w:r w:rsidRPr="00726828">
              <w:rPr>
                <w:lang w:val="en-US"/>
              </w:rPr>
              <w:t xml:space="preserve"> </w:t>
            </w:r>
            <w:r w:rsidRPr="00001127">
              <w:rPr>
                <w:lang w:val="en-US"/>
              </w:rPr>
              <w:t>of</w:t>
            </w:r>
            <w:r w:rsidRPr="00726828">
              <w:rPr>
                <w:lang w:val="en-US"/>
              </w:rPr>
              <w:t xml:space="preserve"> </w:t>
            </w:r>
            <w:r w:rsidRPr="00001127">
              <w:rPr>
                <w:lang w:val="en-US"/>
              </w:rPr>
              <w:t>IDGC</w:t>
            </w:r>
            <w:r w:rsidRPr="00726828">
              <w:rPr>
                <w:lang w:val="en-US"/>
              </w:rPr>
              <w:t xml:space="preserve"> </w:t>
            </w:r>
            <w:r w:rsidRPr="00001127">
              <w:rPr>
                <w:lang w:val="en-US"/>
              </w:rPr>
              <w:t>of</w:t>
            </w:r>
            <w:r w:rsidRPr="00726828">
              <w:rPr>
                <w:lang w:val="en-US"/>
              </w:rPr>
              <w:t xml:space="preserve"> </w:t>
            </w:r>
            <w:r w:rsidRPr="00001127">
              <w:rPr>
                <w:lang w:val="en-US"/>
              </w:rPr>
              <w:t>Centre</w:t>
            </w:r>
            <w:r w:rsidRPr="00726828">
              <w:rPr>
                <w:lang w:val="en-US"/>
              </w:rPr>
              <w:t xml:space="preserve"> </w:t>
            </w:r>
          </w:p>
        </w:tc>
      </w:tr>
      <w:tr w:rsidR="00D81681" w:rsidRPr="001C7D21"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0701EC" w:rsidRDefault="00D81681" w:rsidP="00DC1587">
            <w:pPr>
              <w:spacing w:line="276" w:lineRule="auto"/>
              <w:jc w:val="center"/>
            </w:pPr>
            <w:r w:rsidRPr="000701EC">
              <w:t>5</w:t>
            </w:r>
          </w:p>
        </w:tc>
        <w:tc>
          <w:tcPr>
            <w:tcW w:w="3063" w:type="dxa"/>
            <w:gridSpan w:val="2"/>
            <w:tcBorders>
              <w:top w:val="nil"/>
              <w:left w:val="nil"/>
              <w:bottom w:val="single" w:sz="8" w:space="0" w:color="auto"/>
              <w:right w:val="single" w:sz="8" w:space="0" w:color="auto"/>
            </w:tcBorders>
            <w:noWrap/>
          </w:tcPr>
          <w:p w:rsidR="00D81681" w:rsidRPr="000701EC" w:rsidRDefault="00157939" w:rsidP="00DC1587">
            <w:pPr>
              <w:spacing w:line="276" w:lineRule="auto"/>
              <w:ind w:left="113"/>
            </w:pPr>
            <w:r w:rsidRPr="00157939">
              <w:t xml:space="preserve">Alexander </w:t>
            </w:r>
            <w:proofErr w:type="spellStart"/>
            <w:r w:rsidRPr="00157939">
              <w:t>Viktorovich</w:t>
            </w:r>
            <w:proofErr w:type="spellEnd"/>
            <w:r w:rsidRPr="00157939">
              <w:t xml:space="preserve"> </w:t>
            </w:r>
            <w:proofErr w:type="spellStart"/>
            <w:r w:rsidRPr="00157939">
              <w:t>Pilyugin</w:t>
            </w:r>
            <w:proofErr w:type="spellEnd"/>
          </w:p>
        </w:tc>
        <w:tc>
          <w:tcPr>
            <w:tcW w:w="5447" w:type="dxa"/>
            <w:tcBorders>
              <w:top w:val="nil"/>
              <w:left w:val="nil"/>
              <w:bottom w:val="single" w:sz="8" w:space="0" w:color="auto"/>
              <w:right w:val="single" w:sz="8" w:space="0" w:color="auto"/>
            </w:tcBorders>
            <w:noWrap/>
          </w:tcPr>
          <w:p w:rsidR="00D81681" w:rsidRPr="001C7D21" w:rsidRDefault="00F97C19" w:rsidP="00DC1587">
            <w:pPr>
              <w:spacing w:line="276" w:lineRule="auto"/>
              <w:ind w:left="57"/>
              <w:rPr>
                <w:lang w:val="en-US"/>
              </w:rPr>
            </w:pPr>
            <w:r w:rsidRPr="00001127">
              <w:rPr>
                <w:lang w:val="en-US"/>
              </w:rPr>
              <w:t>Member</w:t>
            </w:r>
            <w:r w:rsidRPr="001C7D21">
              <w:rPr>
                <w:lang w:val="en-US"/>
              </w:rPr>
              <w:t xml:space="preserve"> </w:t>
            </w:r>
            <w:r w:rsidRPr="00001127">
              <w:rPr>
                <w:lang w:val="en-US"/>
              </w:rPr>
              <w:t>of</w:t>
            </w:r>
            <w:r w:rsidRPr="001C7D21">
              <w:rPr>
                <w:lang w:val="en-US"/>
              </w:rPr>
              <w:t xml:space="preserve"> </w:t>
            </w:r>
            <w:r w:rsidRPr="00001127">
              <w:rPr>
                <w:lang w:val="en-US"/>
              </w:rPr>
              <w:t>the</w:t>
            </w:r>
            <w:r w:rsidRPr="001C7D21">
              <w:rPr>
                <w:lang w:val="en-US"/>
              </w:rPr>
              <w:t xml:space="preserve"> </w:t>
            </w:r>
            <w:r w:rsidRPr="00001127">
              <w:rPr>
                <w:lang w:val="en-US"/>
              </w:rPr>
              <w:t>Management</w:t>
            </w:r>
            <w:r w:rsidRPr="001C7D21">
              <w:rPr>
                <w:lang w:val="en-US"/>
              </w:rPr>
              <w:t xml:space="preserve"> </w:t>
            </w:r>
            <w:r w:rsidRPr="00001127">
              <w:rPr>
                <w:lang w:val="en-US"/>
              </w:rPr>
              <w:t>Board</w:t>
            </w:r>
            <w:r w:rsidR="00D81681" w:rsidRPr="001C7D21">
              <w:rPr>
                <w:shd w:val="clear" w:color="auto" w:fill="FFFFFF"/>
                <w:lang w:val="en-US"/>
              </w:rPr>
              <w:t xml:space="preserve">, </w:t>
            </w:r>
            <w:r w:rsidR="001C7D21">
              <w:rPr>
                <w:lang w:val="en-US" w:eastAsia="ar-SA"/>
              </w:rPr>
              <w:t xml:space="preserve">First </w:t>
            </w:r>
            <w:r w:rsidR="001C7D21" w:rsidRPr="008E6FA3">
              <w:rPr>
                <w:lang w:val="en-US" w:eastAsia="ar-SA"/>
              </w:rPr>
              <w:t xml:space="preserve">Deputy General Director </w:t>
            </w:r>
            <w:r w:rsidR="001C7D21">
              <w:rPr>
                <w:lang w:val="en-US" w:eastAsia="ar-SA"/>
              </w:rPr>
              <w:t>-</w:t>
            </w:r>
            <w:r w:rsidR="001C7D21" w:rsidRPr="008E6FA3">
              <w:rPr>
                <w:lang w:val="en-US" w:eastAsia="ar-SA"/>
              </w:rPr>
              <w:t xml:space="preserve"> Chief Engineer</w:t>
            </w:r>
            <w:r w:rsidR="001C7D21">
              <w:rPr>
                <w:lang w:val="en-US" w:eastAsia="ar-SA"/>
              </w:rPr>
              <w:t xml:space="preserve"> </w:t>
            </w:r>
            <w:r w:rsidR="001C7D21" w:rsidRPr="00001127">
              <w:rPr>
                <w:lang w:val="en-US"/>
              </w:rPr>
              <w:t>of</w:t>
            </w:r>
            <w:r w:rsidR="001C7D21" w:rsidRPr="001C7D21">
              <w:rPr>
                <w:lang w:val="en-US"/>
              </w:rPr>
              <w:t xml:space="preserve"> </w:t>
            </w:r>
            <w:r w:rsidR="001C7D21" w:rsidRPr="00001127">
              <w:rPr>
                <w:lang w:val="en-US"/>
              </w:rPr>
              <w:t>IDGC</w:t>
            </w:r>
            <w:r w:rsidR="001C7D21" w:rsidRPr="001C7D21">
              <w:rPr>
                <w:lang w:val="en-US"/>
              </w:rPr>
              <w:t xml:space="preserve"> </w:t>
            </w:r>
            <w:r w:rsidR="001C7D21" w:rsidRPr="00001127">
              <w:rPr>
                <w:lang w:val="en-US"/>
              </w:rPr>
              <w:t>of</w:t>
            </w:r>
            <w:r w:rsidR="001C7D21" w:rsidRPr="001C7D21">
              <w:rPr>
                <w:lang w:val="en-US"/>
              </w:rPr>
              <w:t xml:space="preserve"> </w:t>
            </w:r>
            <w:r w:rsidR="001C7D21" w:rsidRPr="00001127">
              <w:rPr>
                <w:lang w:val="en-US"/>
              </w:rPr>
              <w:t>Centre</w:t>
            </w:r>
          </w:p>
        </w:tc>
      </w:tr>
      <w:tr w:rsidR="00D81681" w:rsidRPr="00F97C19"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805E0C" w:rsidRDefault="00D81681" w:rsidP="00DC1587">
            <w:pPr>
              <w:spacing w:line="276" w:lineRule="auto"/>
              <w:jc w:val="center"/>
            </w:pPr>
            <w:r w:rsidRPr="00805E0C">
              <w:t>6</w:t>
            </w:r>
          </w:p>
        </w:tc>
        <w:tc>
          <w:tcPr>
            <w:tcW w:w="3063" w:type="dxa"/>
            <w:gridSpan w:val="2"/>
            <w:tcBorders>
              <w:top w:val="nil"/>
              <w:left w:val="nil"/>
              <w:bottom w:val="single" w:sz="8" w:space="0" w:color="auto"/>
              <w:right w:val="single" w:sz="8" w:space="0" w:color="auto"/>
            </w:tcBorders>
            <w:noWrap/>
            <w:hideMark/>
          </w:tcPr>
          <w:p w:rsidR="00D81681" w:rsidRPr="00805E0C" w:rsidRDefault="00F97C19" w:rsidP="00DC1587">
            <w:pPr>
              <w:spacing w:line="276" w:lineRule="auto"/>
              <w:ind w:left="113"/>
            </w:pPr>
            <w:proofErr w:type="spellStart"/>
            <w:r w:rsidRPr="00001127">
              <w:rPr>
                <w:lang w:val="ru-RU"/>
              </w:rPr>
              <w:t>Sergey</w:t>
            </w:r>
            <w:proofErr w:type="spellEnd"/>
            <w:r w:rsidRPr="00001127">
              <w:rPr>
                <w:lang w:val="ru-RU"/>
              </w:rPr>
              <w:t xml:space="preserve"> </w:t>
            </w:r>
            <w:proofErr w:type="spellStart"/>
            <w:r w:rsidRPr="00001127">
              <w:rPr>
                <w:lang w:val="ru-RU"/>
              </w:rPr>
              <w:t>Yuryevich</w:t>
            </w:r>
            <w:proofErr w:type="spellEnd"/>
            <w:r w:rsidRPr="00001127">
              <w:rPr>
                <w:lang w:val="ru-RU"/>
              </w:rPr>
              <w:t xml:space="preserve"> </w:t>
            </w:r>
            <w:proofErr w:type="spellStart"/>
            <w:r w:rsidRPr="00001127">
              <w:rPr>
                <w:lang w:val="ru-RU"/>
              </w:rPr>
              <w:t>Rumyantsev</w:t>
            </w:r>
            <w:proofErr w:type="spellEnd"/>
          </w:p>
        </w:tc>
        <w:tc>
          <w:tcPr>
            <w:tcW w:w="5447" w:type="dxa"/>
            <w:tcBorders>
              <w:top w:val="nil"/>
              <w:left w:val="nil"/>
              <w:bottom w:val="single" w:sz="8" w:space="0" w:color="auto"/>
              <w:right w:val="single" w:sz="8" w:space="0" w:color="auto"/>
            </w:tcBorders>
            <w:noWrap/>
            <w:hideMark/>
          </w:tcPr>
          <w:p w:rsidR="00D81681" w:rsidRPr="00F97C19" w:rsidRDefault="00F97C19" w:rsidP="00DC1587">
            <w:pPr>
              <w:spacing w:line="276" w:lineRule="auto"/>
              <w:ind w:left="57"/>
              <w:rPr>
                <w:lang w:val="en-US"/>
              </w:rPr>
            </w:pPr>
            <w:r w:rsidRPr="00001127">
              <w:rPr>
                <w:lang w:val="en-US"/>
              </w:rPr>
              <w:t>Member of the Management Board, Deputy General Director for Economy and Finance of IDGC of Centre</w:t>
            </w:r>
          </w:p>
        </w:tc>
      </w:tr>
      <w:tr w:rsidR="00D81681" w:rsidRPr="008E635A" w:rsidTr="00DC1587">
        <w:trPr>
          <w:cantSplit/>
          <w:trHeight w:val="718"/>
        </w:trPr>
        <w:tc>
          <w:tcPr>
            <w:tcW w:w="851" w:type="dxa"/>
            <w:tcBorders>
              <w:top w:val="nil"/>
              <w:left w:val="single" w:sz="8" w:space="0" w:color="auto"/>
              <w:bottom w:val="single" w:sz="8" w:space="0" w:color="auto"/>
              <w:right w:val="single" w:sz="8" w:space="0" w:color="auto"/>
            </w:tcBorders>
            <w:hideMark/>
          </w:tcPr>
          <w:p w:rsidR="00D81681" w:rsidRPr="000701EC" w:rsidRDefault="00D81681" w:rsidP="00DC1587">
            <w:pPr>
              <w:spacing w:line="276" w:lineRule="auto"/>
              <w:jc w:val="center"/>
            </w:pPr>
            <w:r w:rsidRPr="000701EC">
              <w:t>7</w:t>
            </w:r>
          </w:p>
        </w:tc>
        <w:tc>
          <w:tcPr>
            <w:tcW w:w="3063" w:type="dxa"/>
            <w:gridSpan w:val="2"/>
            <w:tcBorders>
              <w:top w:val="nil"/>
              <w:left w:val="nil"/>
              <w:bottom w:val="single" w:sz="8" w:space="0" w:color="auto"/>
              <w:right w:val="single" w:sz="8" w:space="0" w:color="auto"/>
            </w:tcBorders>
            <w:noWrap/>
          </w:tcPr>
          <w:p w:rsidR="00D81681" w:rsidRPr="000701EC" w:rsidRDefault="008E635A" w:rsidP="00DC1587">
            <w:pPr>
              <w:spacing w:line="276" w:lineRule="auto"/>
              <w:ind w:left="113"/>
            </w:pPr>
            <w:r w:rsidRPr="008E635A">
              <w:t xml:space="preserve">Lyudmila </w:t>
            </w:r>
            <w:proofErr w:type="spellStart"/>
            <w:r w:rsidRPr="008E635A">
              <w:t>Alexeevna</w:t>
            </w:r>
            <w:proofErr w:type="spellEnd"/>
            <w:r w:rsidRPr="008E635A">
              <w:t xml:space="preserve"> </w:t>
            </w:r>
            <w:proofErr w:type="spellStart"/>
            <w:r w:rsidRPr="008E635A">
              <w:t>Sklyarova</w:t>
            </w:r>
            <w:proofErr w:type="spellEnd"/>
          </w:p>
        </w:tc>
        <w:tc>
          <w:tcPr>
            <w:tcW w:w="5447" w:type="dxa"/>
            <w:tcBorders>
              <w:top w:val="nil"/>
              <w:left w:val="nil"/>
              <w:bottom w:val="single" w:sz="8" w:space="0" w:color="auto"/>
              <w:right w:val="single" w:sz="8" w:space="0" w:color="auto"/>
            </w:tcBorders>
            <w:noWrap/>
          </w:tcPr>
          <w:p w:rsidR="00D81681" w:rsidRPr="008E635A" w:rsidRDefault="00F97C19" w:rsidP="00DC1587">
            <w:pPr>
              <w:spacing w:line="276" w:lineRule="auto"/>
              <w:ind w:left="57"/>
              <w:rPr>
                <w:shd w:val="clear" w:color="auto" w:fill="FFFFFF"/>
                <w:lang w:val="en-US"/>
              </w:rPr>
            </w:pPr>
            <w:r w:rsidRPr="00001127">
              <w:rPr>
                <w:lang w:val="en-US"/>
              </w:rPr>
              <w:t>Member</w:t>
            </w:r>
            <w:r w:rsidRPr="008E635A">
              <w:rPr>
                <w:lang w:val="en-US"/>
              </w:rPr>
              <w:t xml:space="preserve"> </w:t>
            </w:r>
            <w:r w:rsidRPr="00001127">
              <w:rPr>
                <w:lang w:val="en-US"/>
              </w:rPr>
              <w:t>of</w:t>
            </w:r>
            <w:r w:rsidRPr="008E635A">
              <w:rPr>
                <w:lang w:val="en-US"/>
              </w:rPr>
              <w:t xml:space="preserve"> </w:t>
            </w:r>
            <w:r w:rsidRPr="00001127">
              <w:rPr>
                <w:lang w:val="en-US"/>
              </w:rPr>
              <w:t>the</w:t>
            </w:r>
            <w:r w:rsidRPr="008E635A">
              <w:rPr>
                <w:lang w:val="en-US"/>
              </w:rPr>
              <w:t xml:space="preserve"> </w:t>
            </w:r>
            <w:r w:rsidRPr="00001127">
              <w:rPr>
                <w:lang w:val="en-US"/>
              </w:rPr>
              <w:t>Management</w:t>
            </w:r>
            <w:r w:rsidRPr="008E635A">
              <w:rPr>
                <w:lang w:val="en-US"/>
              </w:rPr>
              <w:t xml:space="preserve"> </w:t>
            </w:r>
            <w:r w:rsidRPr="00001127">
              <w:rPr>
                <w:lang w:val="en-US"/>
              </w:rPr>
              <w:t>Board</w:t>
            </w:r>
            <w:r w:rsidR="00D81681" w:rsidRPr="008E635A">
              <w:rPr>
                <w:shd w:val="clear" w:color="auto" w:fill="FFFFFF"/>
                <w:lang w:val="en-US"/>
              </w:rPr>
              <w:t xml:space="preserve">, </w:t>
            </w:r>
            <w:r w:rsidR="008E635A" w:rsidRPr="000F3B6A">
              <w:rPr>
                <w:lang w:val="en-US"/>
              </w:rPr>
              <w:t>Chief Accountant - Head of Financial and Tax Accounting and Reporting Department</w:t>
            </w:r>
            <w:r w:rsidR="00D81681" w:rsidRPr="008E635A">
              <w:rPr>
                <w:shd w:val="clear" w:color="auto" w:fill="FFFFFF"/>
                <w:lang w:val="en-US"/>
              </w:rPr>
              <w:t xml:space="preserve"> </w:t>
            </w:r>
            <w:r w:rsidR="001C7D21" w:rsidRPr="00001127">
              <w:rPr>
                <w:lang w:val="en-US"/>
              </w:rPr>
              <w:t>of</w:t>
            </w:r>
            <w:r w:rsidR="001C7D21" w:rsidRPr="008E635A">
              <w:rPr>
                <w:lang w:val="en-US"/>
              </w:rPr>
              <w:t xml:space="preserve"> </w:t>
            </w:r>
            <w:r w:rsidR="001C7D21" w:rsidRPr="00001127">
              <w:rPr>
                <w:lang w:val="en-US"/>
              </w:rPr>
              <w:t>IDGC</w:t>
            </w:r>
            <w:r w:rsidR="001C7D21" w:rsidRPr="008E635A">
              <w:rPr>
                <w:lang w:val="en-US"/>
              </w:rPr>
              <w:t xml:space="preserve"> </w:t>
            </w:r>
            <w:r w:rsidR="001C7D21" w:rsidRPr="00001127">
              <w:rPr>
                <w:lang w:val="en-US"/>
              </w:rPr>
              <w:t>of</w:t>
            </w:r>
            <w:r w:rsidR="001C7D21" w:rsidRPr="008E635A">
              <w:rPr>
                <w:lang w:val="en-US"/>
              </w:rPr>
              <w:t xml:space="preserve"> </w:t>
            </w:r>
            <w:r w:rsidR="001C7D21" w:rsidRPr="00001127">
              <w:rPr>
                <w:lang w:val="en-US"/>
              </w:rPr>
              <w:t>Centre</w:t>
            </w:r>
            <w:r w:rsidR="001C7D21" w:rsidRPr="008E635A">
              <w:rPr>
                <w:shd w:val="clear" w:color="auto" w:fill="FFFFFF"/>
                <w:lang w:val="en-US"/>
              </w:rPr>
              <w:t xml:space="preserve"> </w:t>
            </w:r>
          </w:p>
          <w:p w:rsidR="00F0601C" w:rsidRPr="008E635A" w:rsidRDefault="00F0601C" w:rsidP="00DC1587">
            <w:pPr>
              <w:spacing w:line="276" w:lineRule="auto"/>
              <w:ind w:left="57"/>
              <w:rPr>
                <w:shd w:val="clear" w:color="auto" w:fill="FFFFFF"/>
                <w:lang w:val="en-US"/>
              </w:rPr>
            </w:pPr>
          </w:p>
          <w:p w:rsidR="00F0601C" w:rsidRPr="008E635A" w:rsidRDefault="00F0601C" w:rsidP="00DC1587">
            <w:pPr>
              <w:spacing w:line="276" w:lineRule="auto"/>
              <w:ind w:left="57"/>
              <w:rPr>
                <w:lang w:val="en-US"/>
              </w:rPr>
            </w:pPr>
          </w:p>
        </w:tc>
      </w:tr>
      <w:tr w:rsidR="00D81681" w:rsidRPr="00466BD3" w:rsidTr="00DC1587">
        <w:trPr>
          <w:cantSplit/>
          <w:trHeight w:val="240"/>
        </w:trPr>
        <w:tc>
          <w:tcPr>
            <w:tcW w:w="9361" w:type="dxa"/>
            <w:gridSpan w:val="4"/>
            <w:tcBorders>
              <w:top w:val="nil"/>
              <w:left w:val="single" w:sz="8" w:space="0" w:color="auto"/>
              <w:bottom w:val="single" w:sz="8" w:space="0" w:color="auto"/>
              <w:right w:val="single" w:sz="8" w:space="0" w:color="auto"/>
            </w:tcBorders>
          </w:tcPr>
          <w:p w:rsidR="00D81681" w:rsidRPr="008E635A" w:rsidRDefault="00D81681" w:rsidP="00DC1587">
            <w:pPr>
              <w:spacing w:line="276" w:lineRule="auto"/>
              <w:ind w:firstLine="709"/>
              <w:rPr>
                <w:b/>
                <w:bCs/>
                <w:lang w:val="en-US"/>
              </w:rPr>
            </w:pPr>
          </w:p>
          <w:p w:rsidR="00D81681" w:rsidRPr="00466BD3" w:rsidRDefault="00466BD3" w:rsidP="00466BD3">
            <w:pPr>
              <w:spacing w:line="276" w:lineRule="auto"/>
              <w:ind w:firstLine="709"/>
              <w:rPr>
                <w:b/>
                <w:bCs/>
                <w:lang w:val="en-US"/>
              </w:rPr>
            </w:pPr>
            <w:r w:rsidRPr="00001127">
              <w:rPr>
                <w:b/>
                <w:lang w:val="en-US"/>
              </w:rPr>
              <w:t>Chief Executive Officer – General Director</w:t>
            </w:r>
            <w:r w:rsidR="00D81681" w:rsidRPr="00466BD3">
              <w:rPr>
                <w:b/>
                <w:bCs/>
                <w:lang w:val="en-US"/>
              </w:rPr>
              <w:t xml:space="preserve"> (</w:t>
            </w:r>
            <w:r>
              <w:rPr>
                <w:b/>
                <w:bCs/>
                <w:lang w:val="en-US"/>
              </w:rPr>
              <w:t>from</w:t>
            </w:r>
            <w:r w:rsidR="00D81681" w:rsidRPr="00466BD3">
              <w:rPr>
                <w:b/>
                <w:bCs/>
                <w:lang w:val="en-US"/>
              </w:rPr>
              <w:t xml:space="preserve"> 11.12.2012)</w:t>
            </w:r>
          </w:p>
        </w:tc>
      </w:tr>
      <w:tr w:rsidR="00D81681" w:rsidRPr="006456D4"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A31581" w:rsidRDefault="00D81681" w:rsidP="00DC1587">
            <w:pPr>
              <w:spacing w:line="276" w:lineRule="auto"/>
            </w:pPr>
            <w:r w:rsidRPr="00A31581">
              <w:lastRenderedPageBreak/>
              <w:t>     </w:t>
            </w:r>
            <w:r w:rsidRPr="00466BD3">
              <w:rPr>
                <w:lang w:val="en-US"/>
              </w:rPr>
              <w:t xml:space="preserve"> </w:t>
            </w:r>
            <w:r w:rsidRPr="00A31581">
              <w:t>1</w:t>
            </w:r>
          </w:p>
        </w:tc>
        <w:tc>
          <w:tcPr>
            <w:tcW w:w="3063" w:type="dxa"/>
            <w:gridSpan w:val="2"/>
            <w:tcBorders>
              <w:top w:val="nil"/>
              <w:left w:val="nil"/>
              <w:bottom w:val="single" w:sz="8" w:space="0" w:color="auto"/>
              <w:right w:val="single" w:sz="8" w:space="0" w:color="auto"/>
            </w:tcBorders>
            <w:noWrap/>
            <w:hideMark/>
          </w:tcPr>
          <w:p w:rsidR="00D81681" w:rsidRPr="00A31581" w:rsidRDefault="00264AB8" w:rsidP="00DC1587">
            <w:pPr>
              <w:spacing w:line="276" w:lineRule="auto"/>
              <w:ind w:left="113"/>
            </w:pPr>
            <w:r>
              <w:t xml:space="preserve">Oleg </w:t>
            </w:r>
            <w:proofErr w:type="spellStart"/>
            <w:r>
              <w:t>Yuryevich</w:t>
            </w:r>
            <w:proofErr w:type="spellEnd"/>
            <w:r>
              <w:t xml:space="preserve"> </w:t>
            </w:r>
            <w:proofErr w:type="spellStart"/>
            <w:r>
              <w:t>Isaev</w:t>
            </w:r>
            <w:proofErr w:type="spellEnd"/>
            <w:r w:rsidR="00D81681" w:rsidRPr="00A31581">
              <w:t xml:space="preserve"> </w:t>
            </w:r>
          </w:p>
        </w:tc>
        <w:tc>
          <w:tcPr>
            <w:tcW w:w="5447" w:type="dxa"/>
            <w:tcBorders>
              <w:top w:val="nil"/>
              <w:left w:val="nil"/>
              <w:bottom w:val="single" w:sz="8" w:space="0" w:color="auto"/>
              <w:right w:val="single" w:sz="8" w:space="0" w:color="auto"/>
            </w:tcBorders>
            <w:noWrap/>
            <w:hideMark/>
          </w:tcPr>
          <w:p w:rsidR="00D81681" w:rsidRPr="006456D4" w:rsidRDefault="006456D4" w:rsidP="00DC1587">
            <w:pPr>
              <w:spacing w:line="276" w:lineRule="auto"/>
              <w:ind w:left="113"/>
              <w:rPr>
                <w:lang w:val="en-US"/>
              </w:rPr>
            </w:pPr>
            <w:r w:rsidRPr="00FA36E7">
              <w:rPr>
                <w:lang w:val="en-US"/>
              </w:rPr>
              <w:t>Chairman of the Management Board, General Director of IDGC of Centre</w:t>
            </w:r>
          </w:p>
        </w:tc>
      </w:tr>
      <w:tr w:rsidR="00D81681" w:rsidRPr="002A44C1" w:rsidTr="00DC1587">
        <w:trPr>
          <w:cantSplit/>
          <w:trHeight w:val="240"/>
        </w:trPr>
        <w:tc>
          <w:tcPr>
            <w:tcW w:w="9361" w:type="dxa"/>
            <w:gridSpan w:val="4"/>
            <w:tcBorders>
              <w:top w:val="nil"/>
              <w:left w:val="single" w:sz="8" w:space="0" w:color="auto"/>
              <w:bottom w:val="single" w:sz="8" w:space="0" w:color="auto"/>
              <w:right w:val="single" w:sz="8" w:space="0" w:color="auto"/>
            </w:tcBorders>
          </w:tcPr>
          <w:p w:rsidR="00D81681" w:rsidRPr="002A44C1" w:rsidRDefault="002A44C1" w:rsidP="00DC1587">
            <w:pPr>
              <w:ind w:firstLine="709"/>
              <w:jc w:val="center"/>
              <w:rPr>
                <w:b/>
                <w:bCs/>
                <w:lang w:val="en-US"/>
              </w:rPr>
            </w:pPr>
            <w:r w:rsidRPr="00001127">
              <w:rPr>
                <w:b/>
                <w:lang w:val="en-US"/>
              </w:rPr>
              <w:t>Audit Commission, elected by the General Meeting of Sha</w:t>
            </w:r>
            <w:r>
              <w:rPr>
                <w:b/>
                <w:lang w:val="en-US"/>
              </w:rPr>
              <w:t xml:space="preserve">reholders of </w:t>
            </w:r>
            <w:r w:rsidR="00D81681" w:rsidRPr="002A44C1">
              <w:rPr>
                <w:b/>
                <w:bCs/>
                <w:lang w:val="en-US"/>
              </w:rPr>
              <w:t>26.06.2014 (</w:t>
            </w:r>
            <w:r w:rsidRPr="00BA517A">
              <w:rPr>
                <w:b/>
                <w:lang w:val="en-US"/>
              </w:rPr>
              <w:t>Minutes #</w:t>
            </w:r>
            <w:r>
              <w:rPr>
                <w:b/>
                <w:lang w:val="en-US"/>
              </w:rPr>
              <w:t xml:space="preserve"> </w:t>
            </w:r>
            <w:r w:rsidRPr="00A31581">
              <w:rPr>
                <w:b/>
                <w:bCs/>
              </w:rPr>
              <w:t>01/14</w:t>
            </w:r>
            <w:r>
              <w:rPr>
                <w:b/>
                <w:bCs/>
              </w:rPr>
              <w:t xml:space="preserve"> of </w:t>
            </w:r>
            <w:r w:rsidRPr="00A31581">
              <w:rPr>
                <w:b/>
                <w:bCs/>
              </w:rPr>
              <w:t>30.06.2014</w:t>
            </w:r>
            <w:r w:rsidR="00D81681" w:rsidRPr="002A44C1">
              <w:rPr>
                <w:b/>
                <w:bCs/>
                <w:lang w:val="en-US"/>
              </w:rPr>
              <w:t>)</w:t>
            </w:r>
          </w:p>
        </w:tc>
      </w:tr>
      <w:tr w:rsidR="00D26369" w:rsidRPr="00D26369" w:rsidTr="00DC1587">
        <w:trPr>
          <w:cantSplit/>
          <w:trHeight w:val="240"/>
        </w:trPr>
        <w:tc>
          <w:tcPr>
            <w:tcW w:w="851" w:type="dxa"/>
            <w:tcBorders>
              <w:top w:val="nil"/>
              <w:left w:val="single" w:sz="8" w:space="0" w:color="auto"/>
              <w:bottom w:val="single" w:sz="8" w:space="0" w:color="auto"/>
              <w:right w:val="single" w:sz="8" w:space="0" w:color="auto"/>
            </w:tcBorders>
            <w:hideMark/>
          </w:tcPr>
          <w:p w:rsidR="00D26369" w:rsidRPr="00A31581" w:rsidRDefault="00D26369" w:rsidP="00DC1587">
            <w:pPr>
              <w:spacing w:line="276" w:lineRule="auto"/>
              <w:jc w:val="both"/>
            </w:pPr>
            <w:r w:rsidRPr="00A31581">
              <w:t>    </w:t>
            </w:r>
            <w:r w:rsidRPr="002A44C1">
              <w:rPr>
                <w:lang w:val="en-US"/>
              </w:rPr>
              <w:t xml:space="preserve"> </w:t>
            </w:r>
            <w:r w:rsidRPr="00A31581">
              <w:t>1</w:t>
            </w:r>
          </w:p>
        </w:tc>
        <w:tc>
          <w:tcPr>
            <w:tcW w:w="2977" w:type="dxa"/>
            <w:tcBorders>
              <w:top w:val="nil"/>
              <w:left w:val="nil"/>
              <w:bottom w:val="single" w:sz="8" w:space="0" w:color="auto"/>
              <w:right w:val="single" w:sz="8" w:space="0" w:color="auto"/>
            </w:tcBorders>
            <w:noWrap/>
            <w:hideMark/>
          </w:tcPr>
          <w:p w:rsidR="00D26369" w:rsidRPr="00836721" w:rsidRDefault="00D26369" w:rsidP="007C4502">
            <w:pPr>
              <w:spacing w:line="276" w:lineRule="auto"/>
              <w:ind w:left="147"/>
              <w:rPr>
                <w:b/>
                <w:lang w:val="ru-RU"/>
              </w:rPr>
            </w:pPr>
            <w:proofErr w:type="spellStart"/>
            <w:r w:rsidRPr="008C3F0D">
              <w:rPr>
                <w:rStyle w:val="Subst"/>
                <w:b w:val="0"/>
                <w:bCs/>
                <w:i w:val="0"/>
                <w:iCs/>
                <w:lang w:val="ru-RU"/>
              </w:rPr>
              <w:t>Marina</w:t>
            </w:r>
            <w:proofErr w:type="spellEnd"/>
            <w:r w:rsidRPr="008C3F0D">
              <w:rPr>
                <w:rStyle w:val="Subst"/>
                <w:b w:val="0"/>
                <w:bCs/>
                <w:i w:val="0"/>
                <w:iCs/>
                <w:lang w:val="ru-RU"/>
              </w:rPr>
              <w:t xml:space="preserve"> </w:t>
            </w:r>
            <w:proofErr w:type="spellStart"/>
            <w:r w:rsidRPr="008C3F0D">
              <w:rPr>
                <w:rStyle w:val="Subst"/>
                <w:b w:val="0"/>
                <w:bCs/>
                <w:i w:val="0"/>
                <w:iCs/>
                <w:lang w:val="ru-RU"/>
              </w:rPr>
              <w:t>Alexeyevna</w:t>
            </w:r>
            <w:proofErr w:type="spellEnd"/>
            <w:r w:rsidRPr="008C3F0D">
              <w:rPr>
                <w:rStyle w:val="Subst"/>
                <w:b w:val="0"/>
                <w:bCs/>
                <w:i w:val="0"/>
                <w:iCs/>
                <w:lang w:val="ru-RU"/>
              </w:rPr>
              <w:t xml:space="preserve"> </w:t>
            </w:r>
            <w:proofErr w:type="spellStart"/>
            <w:r w:rsidRPr="008C3F0D">
              <w:rPr>
                <w:rStyle w:val="Subst"/>
                <w:b w:val="0"/>
                <w:bCs/>
                <w:i w:val="0"/>
                <w:iCs/>
                <w:lang w:val="ru-RU"/>
              </w:rPr>
              <w:t>Lelekova</w:t>
            </w:r>
            <w:proofErr w:type="spellEnd"/>
          </w:p>
        </w:tc>
        <w:tc>
          <w:tcPr>
            <w:tcW w:w="5533" w:type="dxa"/>
            <w:gridSpan w:val="2"/>
            <w:tcBorders>
              <w:top w:val="nil"/>
              <w:left w:val="nil"/>
              <w:bottom w:val="single" w:sz="8" w:space="0" w:color="auto"/>
              <w:right w:val="single" w:sz="8" w:space="0" w:color="auto"/>
            </w:tcBorders>
            <w:noWrap/>
            <w:hideMark/>
          </w:tcPr>
          <w:p w:rsidR="00D26369" w:rsidRPr="00BF06D9" w:rsidRDefault="00D26369" w:rsidP="007C4502">
            <w:pPr>
              <w:spacing w:line="276" w:lineRule="auto"/>
              <w:ind w:left="146"/>
              <w:rPr>
                <w:lang w:val="en-US"/>
              </w:rPr>
            </w:pPr>
            <w:r w:rsidRPr="00BF06D9">
              <w:rPr>
                <w:lang w:val="en-US"/>
              </w:rPr>
              <w:t>Chairperson of the Audit Commission</w:t>
            </w:r>
            <w:r w:rsidRPr="00FA36E7">
              <w:rPr>
                <w:lang w:val="en-US"/>
              </w:rPr>
              <w:t xml:space="preserve"> of IDGC of Centre</w:t>
            </w:r>
            <w:r w:rsidRPr="00BF06D9">
              <w:rPr>
                <w:lang w:val="en-US"/>
              </w:rPr>
              <w:t>, Director of Internal Audit and Control Department of JSC «Russian Grids»</w:t>
            </w:r>
          </w:p>
        </w:tc>
      </w:tr>
      <w:tr w:rsidR="00D81681" w:rsidRPr="00D258D6"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697D28" w:rsidRDefault="00D81681" w:rsidP="00DC1587">
            <w:pPr>
              <w:spacing w:line="276" w:lineRule="auto"/>
              <w:jc w:val="both"/>
            </w:pPr>
            <w:r w:rsidRPr="00697D28">
              <w:t>    </w:t>
            </w:r>
            <w:r w:rsidRPr="00D26369">
              <w:rPr>
                <w:lang w:val="en-US"/>
              </w:rPr>
              <w:t xml:space="preserve"> </w:t>
            </w:r>
            <w:r w:rsidRPr="00697D28">
              <w:t>2</w:t>
            </w:r>
          </w:p>
        </w:tc>
        <w:tc>
          <w:tcPr>
            <w:tcW w:w="2977" w:type="dxa"/>
            <w:tcBorders>
              <w:top w:val="nil"/>
              <w:left w:val="nil"/>
              <w:bottom w:val="single" w:sz="8" w:space="0" w:color="auto"/>
              <w:right w:val="single" w:sz="8" w:space="0" w:color="auto"/>
            </w:tcBorders>
            <w:noWrap/>
            <w:hideMark/>
          </w:tcPr>
          <w:p w:rsidR="00D81681" w:rsidRPr="00697D28" w:rsidRDefault="002F5D01" w:rsidP="00DC1587">
            <w:pPr>
              <w:spacing w:line="276" w:lineRule="auto"/>
              <w:ind w:left="147"/>
            </w:pPr>
            <w:r w:rsidRPr="002F5D01">
              <w:t xml:space="preserve">Elena </w:t>
            </w:r>
            <w:proofErr w:type="spellStart"/>
            <w:r w:rsidRPr="002F5D01">
              <w:t>Polikarpovna</w:t>
            </w:r>
            <w:proofErr w:type="spellEnd"/>
            <w:r w:rsidRPr="002F5D01">
              <w:t xml:space="preserve"> </w:t>
            </w:r>
            <w:proofErr w:type="spellStart"/>
            <w:r w:rsidRPr="002F5D01">
              <w:t>Kuznetsova</w:t>
            </w:r>
            <w:proofErr w:type="spellEnd"/>
          </w:p>
        </w:tc>
        <w:tc>
          <w:tcPr>
            <w:tcW w:w="5533" w:type="dxa"/>
            <w:gridSpan w:val="2"/>
            <w:tcBorders>
              <w:top w:val="nil"/>
              <w:left w:val="nil"/>
              <w:bottom w:val="single" w:sz="8" w:space="0" w:color="auto"/>
              <w:right w:val="single" w:sz="8" w:space="0" w:color="auto"/>
            </w:tcBorders>
            <w:noWrap/>
            <w:hideMark/>
          </w:tcPr>
          <w:p w:rsidR="00D81681" w:rsidRPr="00D258D6" w:rsidRDefault="00D258D6" w:rsidP="00DC1587">
            <w:pPr>
              <w:spacing w:line="276" w:lineRule="auto"/>
              <w:ind w:left="146"/>
              <w:rPr>
                <w:lang w:val="en-US"/>
              </w:rPr>
            </w:pPr>
            <w:r w:rsidRPr="00D258D6">
              <w:rPr>
                <w:shd w:val="clear" w:color="auto" w:fill="FFFFFF"/>
                <w:lang w:val="en-US"/>
              </w:rPr>
              <w:t>Member of the Audit Commission of IDGC of Centre</w:t>
            </w:r>
            <w:r w:rsidR="00D81681" w:rsidRPr="00D258D6">
              <w:rPr>
                <w:shd w:val="clear" w:color="auto" w:fill="FFFFFF"/>
                <w:lang w:val="en-US"/>
              </w:rPr>
              <w:t xml:space="preserve">, </w:t>
            </w:r>
            <w:r w:rsidRPr="00D41ABF">
              <w:rPr>
                <w:lang w:val="en-US" w:eastAsia="ar-SA"/>
              </w:rPr>
              <w:t>Head of Control and Audit Section of Internal Audit and Control Department</w:t>
            </w:r>
            <w:r>
              <w:rPr>
                <w:lang w:val="en-US" w:eastAsia="ar-SA"/>
              </w:rPr>
              <w:t xml:space="preserve"> </w:t>
            </w:r>
            <w:r w:rsidRPr="00BF06D9">
              <w:rPr>
                <w:lang w:val="en-US"/>
              </w:rPr>
              <w:t>of JSC «Russian Grids»</w:t>
            </w:r>
          </w:p>
        </w:tc>
      </w:tr>
      <w:tr w:rsidR="00D81681" w:rsidRPr="002F5D01"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697D28" w:rsidRDefault="00D81681" w:rsidP="00DC1587">
            <w:pPr>
              <w:spacing w:line="276" w:lineRule="auto"/>
              <w:jc w:val="both"/>
            </w:pPr>
            <w:r w:rsidRPr="00697D28">
              <w:t>    </w:t>
            </w:r>
            <w:r w:rsidRPr="00D258D6">
              <w:rPr>
                <w:lang w:val="en-US"/>
              </w:rPr>
              <w:t xml:space="preserve"> </w:t>
            </w:r>
            <w:r w:rsidRPr="00697D28">
              <w:t>3</w:t>
            </w:r>
          </w:p>
        </w:tc>
        <w:tc>
          <w:tcPr>
            <w:tcW w:w="2977" w:type="dxa"/>
            <w:tcBorders>
              <w:top w:val="nil"/>
              <w:left w:val="nil"/>
              <w:bottom w:val="single" w:sz="8" w:space="0" w:color="auto"/>
              <w:right w:val="single" w:sz="8" w:space="0" w:color="auto"/>
            </w:tcBorders>
            <w:noWrap/>
            <w:hideMark/>
          </w:tcPr>
          <w:p w:rsidR="002F5D01" w:rsidRPr="002F5D01" w:rsidRDefault="002F5D01" w:rsidP="002F5D01">
            <w:pPr>
              <w:spacing w:line="276" w:lineRule="auto"/>
              <w:ind w:left="147"/>
              <w:rPr>
                <w:bCs/>
              </w:rPr>
            </w:pPr>
            <w:r w:rsidRPr="002F5D01">
              <w:rPr>
                <w:bCs/>
              </w:rPr>
              <w:t xml:space="preserve">Elena </w:t>
            </w:r>
            <w:proofErr w:type="spellStart"/>
            <w:r w:rsidRPr="002F5D01">
              <w:rPr>
                <w:bCs/>
              </w:rPr>
              <w:t>Yuryevna</w:t>
            </w:r>
            <w:proofErr w:type="spellEnd"/>
            <w:r w:rsidRPr="002F5D01">
              <w:rPr>
                <w:bCs/>
              </w:rPr>
              <w:t xml:space="preserve"> </w:t>
            </w:r>
          </w:p>
          <w:p w:rsidR="00D81681" w:rsidRPr="006023BC" w:rsidRDefault="002F5D01" w:rsidP="002F5D01">
            <w:pPr>
              <w:spacing w:line="276" w:lineRule="auto"/>
              <w:ind w:left="147"/>
            </w:pPr>
            <w:proofErr w:type="spellStart"/>
            <w:r w:rsidRPr="002F5D01">
              <w:rPr>
                <w:bCs/>
              </w:rPr>
              <w:t>Guseva</w:t>
            </w:r>
            <w:proofErr w:type="spellEnd"/>
          </w:p>
        </w:tc>
        <w:tc>
          <w:tcPr>
            <w:tcW w:w="5533" w:type="dxa"/>
            <w:gridSpan w:val="2"/>
            <w:tcBorders>
              <w:top w:val="nil"/>
              <w:left w:val="nil"/>
              <w:bottom w:val="single" w:sz="8" w:space="0" w:color="auto"/>
              <w:right w:val="single" w:sz="8" w:space="0" w:color="auto"/>
            </w:tcBorders>
            <w:noWrap/>
            <w:hideMark/>
          </w:tcPr>
          <w:p w:rsidR="00D81681" w:rsidRPr="002F5D01" w:rsidRDefault="00D258D6" w:rsidP="00DC1587">
            <w:pPr>
              <w:spacing w:line="276" w:lineRule="auto"/>
              <w:ind w:left="146"/>
              <w:rPr>
                <w:lang w:val="en-US"/>
              </w:rPr>
            </w:pPr>
            <w:r w:rsidRPr="002F5D01">
              <w:rPr>
                <w:shd w:val="clear" w:color="auto" w:fill="FFFFFF"/>
                <w:lang w:val="en-US"/>
              </w:rPr>
              <w:t>Member of the Audit Commission of IDGC of Centre</w:t>
            </w:r>
            <w:r w:rsidR="00D81681" w:rsidRPr="002F5D01">
              <w:rPr>
                <w:shd w:val="clear" w:color="auto" w:fill="FFFFFF"/>
                <w:lang w:val="en-US"/>
              </w:rPr>
              <w:t xml:space="preserve">, </w:t>
            </w:r>
            <w:r w:rsidR="002F5D01" w:rsidRPr="00014EBD">
              <w:rPr>
                <w:lang w:val="en-US"/>
              </w:rPr>
              <w:t>Leading Expert of Investment Audit Section of Internal Audit Office of Internal Audit and Control Department of JSC «Russian Grids»</w:t>
            </w:r>
          </w:p>
        </w:tc>
      </w:tr>
      <w:tr w:rsidR="00D81681" w:rsidRPr="002F5D01"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697D28" w:rsidRDefault="00D81681" w:rsidP="00DC1587">
            <w:pPr>
              <w:spacing w:line="276" w:lineRule="auto"/>
              <w:jc w:val="both"/>
            </w:pPr>
            <w:r w:rsidRPr="00697D28">
              <w:t>    </w:t>
            </w:r>
            <w:r w:rsidRPr="002F5D01">
              <w:rPr>
                <w:lang w:val="en-US"/>
              </w:rPr>
              <w:t xml:space="preserve"> </w:t>
            </w:r>
            <w:r w:rsidRPr="00697D28">
              <w:t>4</w:t>
            </w:r>
          </w:p>
        </w:tc>
        <w:tc>
          <w:tcPr>
            <w:tcW w:w="2977" w:type="dxa"/>
            <w:tcBorders>
              <w:top w:val="nil"/>
              <w:left w:val="nil"/>
              <w:bottom w:val="single" w:sz="8" w:space="0" w:color="auto"/>
              <w:right w:val="single" w:sz="8" w:space="0" w:color="auto"/>
            </w:tcBorders>
            <w:noWrap/>
            <w:hideMark/>
          </w:tcPr>
          <w:p w:rsidR="002F5D01" w:rsidRPr="002F5D01" w:rsidRDefault="002F5D01" w:rsidP="002F5D01">
            <w:pPr>
              <w:spacing w:line="276" w:lineRule="auto"/>
              <w:ind w:left="147"/>
              <w:rPr>
                <w:bCs/>
              </w:rPr>
            </w:pPr>
            <w:r w:rsidRPr="002F5D01">
              <w:rPr>
                <w:bCs/>
              </w:rPr>
              <w:t xml:space="preserve">Sergey </w:t>
            </w:r>
            <w:proofErr w:type="spellStart"/>
            <w:r w:rsidRPr="002F5D01">
              <w:rPr>
                <w:bCs/>
              </w:rPr>
              <w:t>Vladimirovich</w:t>
            </w:r>
            <w:proofErr w:type="spellEnd"/>
            <w:r w:rsidRPr="002F5D01">
              <w:rPr>
                <w:bCs/>
              </w:rPr>
              <w:t xml:space="preserve"> </w:t>
            </w:r>
          </w:p>
          <w:p w:rsidR="00D81681" w:rsidRPr="006023BC" w:rsidRDefault="002F5D01" w:rsidP="002F5D01">
            <w:pPr>
              <w:spacing w:line="276" w:lineRule="auto"/>
              <w:ind w:left="147"/>
            </w:pPr>
            <w:proofErr w:type="spellStart"/>
            <w:r w:rsidRPr="002F5D01">
              <w:rPr>
                <w:bCs/>
              </w:rPr>
              <w:t>Malyshev</w:t>
            </w:r>
            <w:proofErr w:type="spellEnd"/>
          </w:p>
        </w:tc>
        <w:tc>
          <w:tcPr>
            <w:tcW w:w="5533" w:type="dxa"/>
            <w:gridSpan w:val="2"/>
            <w:tcBorders>
              <w:top w:val="nil"/>
              <w:left w:val="nil"/>
              <w:bottom w:val="single" w:sz="8" w:space="0" w:color="auto"/>
              <w:right w:val="single" w:sz="8" w:space="0" w:color="auto"/>
            </w:tcBorders>
            <w:noWrap/>
            <w:hideMark/>
          </w:tcPr>
          <w:p w:rsidR="00D81681" w:rsidRPr="002F5D01" w:rsidRDefault="00D258D6" w:rsidP="00DC1587">
            <w:pPr>
              <w:spacing w:line="276" w:lineRule="auto"/>
              <w:ind w:left="146"/>
              <w:rPr>
                <w:lang w:val="en-US"/>
              </w:rPr>
            </w:pPr>
            <w:r w:rsidRPr="002F5D01">
              <w:rPr>
                <w:shd w:val="clear" w:color="auto" w:fill="FFFFFF"/>
                <w:lang w:val="en-US"/>
              </w:rPr>
              <w:t>Member of the Audit Commission of IDGC of Centre</w:t>
            </w:r>
            <w:r w:rsidR="00D81681" w:rsidRPr="002F5D01">
              <w:rPr>
                <w:shd w:val="clear" w:color="auto" w:fill="FFFFFF"/>
                <w:lang w:val="en-US"/>
              </w:rPr>
              <w:t xml:space="preserve">, </w:t>
            </w:r>
            <w:r w:rsidR="002F5D01" w:rsidRPr="00014EBD">
              <w:rPr>
                <w:lang w:val="en-US"/>
              </w:rPr>
              <w:t>Leading Expert of Investment Audit Section of Internal Audit Office of Internal Audit and Control Department of JSC «Russian Grids»</w:t>
            </w:r>
          </w:p>
        </w:tc>
      </w:tr>
      <w:tr w:rsidR="00D81681" w:rsidRPr="002F5D01" w:rsidTr="00DC1587">
        <w:trPr>
          <w:cantSplit/>
          <w:trHeight w:val="240"/>
        </w:trPr>
        <w:tc>
          <w:tcPr>
            <w:tcW w:w="851" w:type="dxa"/>
            <w:tcBorders>
              <w:top w:val="nil"/>
              <w:left w:val="single" w:sz="8" w:space="0" w:color="auto"/>
              <w:bottom w:val="single" w:sz="8" w:space="0" w:color="auto"/>
              <w:right w:val="single" w:sz="8" w:space="0" w:color="auto"/>
            </w:tcBorders>
            <w:hideMark/>
          </w:tcPr>
          <w:p w:rsidR="00D81681" w:rsidRPr="00697D28" w:rsidRDefault="00D81681" w:rsidP="00DC1587">
            <w:pPr>
              <w:spacing w:line="276" w:lineRule="auto"/>
              <w:jc w:val="both"/>
            </w:pPr>
            <w:r w:rsidRPr="00697D28">
              <w:t>    </w:t>
            </w:r>
            <w:r w:rsidRPr="002F5D01">
              <w:rPr>
                <w:lang w:val="en-US"/>
              </w:rPr>
              <w:t xml:space="preserve"> </w:t>
            </w:r>
            <w:r w:rsidRPr="00697D28">
              <w:t>5</w:t>
            </w:r>
          </w:p>
        </w:tc>
        <w:tc>
          <w:tcPr>
            <w:tcW w:w="2977" w:type="dxa"/>
            <w:tcBorders>
              <w:top w:val="nil"/>
              <w:left w:val="nil"/>
              <w:bottom w:val="single" w:sz="8" w:space="0" w:color="auto"/>
              <w:right w:val="single" w:sz="8" w:space="0" w:color="auto"/>
            </w:tcBorders>
            <w:noWrap/>
            <w:hideMark/>
          </w:tcPr>
          <w:p w:rsidR="002F5D01" w:rsidRPr="002F5D01" w:rsidRDefault="002F5D01" w:rsidP="002F5D01">
            <w:pPr>
              <w:spacing w:line="276" w:lineRule="auto"/>
              <w:ind w:left="147"/>
              <w:rPr>
                <w:bCs/>
              </w:rPr>
            </w:pPr>
            <w:r w:rsidRPr="002F5D01">
              <w:rPr>
                <w:bCs/>
              </w:rPr>
              <w:t xml:space="preserve">Sergey </w:t>
            </w:r>
            <w:proofErr w:type="spellStart"/>
            <w:r w:rsidRPr="002F5D01">
              <w:rPr>
                <w:bCs/>
              </w:rPr>
              <w:t>Ivanovich</w:t>
            </w:r>
            <w:proofErr w:type="spellEnd"/>
            <w:r w:rsidRPr="002F5D01">
              <w:rPr>
                <w:bCs/>
              </w:rPr>
              <w:t xml:space="preserve"> </w:t>
            </w:r>
          </w:p>
          <w:p w:rsidR="00D81681" w:rsidRPr="006023BC" w:rsidRDefault="002F5D01" w:rsidP="002F5D01">
            <w:pPr>
              <w:spacing w:line="276" w:lineRule="auto"/>
              <w:ind w:left="147"/>
            </w:pPr>
            <w:proofErr w:type="spellStart"/>
            <w:r w:rsidRPr="002F5D01">
              <w:rPr>
                <w:bCs/>
              </w:rPr>
              <w:t>Ochikov</w:t>
            </w:r>
            <w:proofErr w:type="spellEnd"/>
          </w:p>
        </w:tc>
        <w:tc>
          <w:tcPr>
            <w:tcW w:w="5533" w:type="dxa"/>
            <w:gridSpan w:val="2"/>
            <w:tcBorders>
              <w:top w:val="nil"/>
              <w:left w:val="nil"/>
              <w:bottom w:val="single" w:sz="8" w:space="0" w:color="auto"/>
              <w:right w:val="single" w:sz="8" w:space="0" w:color="auto"/>
            </w:tcBorders>
            <w:noWrap/>
            <w:hideMark/>
          </w:tcPr>
          <w:p w:rsidR="00D81681" w:rsidRPr="002F5D01" w:rsidRDefault="00D258D6" w:rsidP="00DC1587">
            <w:pPr>
              <w:spacing w:line="276" w:lineRule="auto"/>
              <w:ind w:left="146"/>
              <w:rPr>
                <w:lang w:val="en-US"/>
              </w:rPr>
            </w:pPr>
            <w:r w:rsidRPr="002F5D01">
              <w:rPr>
                <w:shd w:val="clear" w:color="auto" w:fill="FFFFFF"/>
                <w:lang w:val="en-US"/>
              </w:rPr>
              <w:t>Member of the Audit Commission of IDGC of Centre</w:t>
            </w:r>
            <w:r w:rsidR="00D81681" w:rsidRPr="002F5D01">
              <w:rPr>
                <w:shd w:val="clear" w:color="auto" w:fill="FFFFFF"/>
                <w:lang w:val="en-US"/>
              </w:rPr>
              <w:t xml:space="preserve">, </w:t>
            </w:r>
            <w:r w:rsidR="002F5D01" w:rsidRPr="00014EBD">
              <w:rPr>
                <w:lang w:val="en-US"/>
              </w:rPr>
              <w:t>Leading Expert of General Audit Section of Internal Audit Office of Internal Audit and Control Department of JSC «Russian Grids»</w:t>
            </w:r>
          </w:p>
        </w:tc>
      </w:tr>
    </w:tbl>
    <w:p w:rsidR="00D81681" w:rsidRPr="002F5D01" w:rsidRDefault="00D81681" w:rsidP="00D81681">
      <w:pPr>
        <w:rPr>
          <w:lang w:val="en-US"/>
        </w:rPr>
      </w:pPr>
    </w:p>
    <w:p w:rsidR="00731508" w:rsidRPr="002F5D01" w:rsidRDefault="00731508" w:rsidP="00731508">
      <w:pPr>
        <w:rPr>
          <w:lang w:val="en-US"/>
        </w:rPr>
      </w:pPr>
    </w:p>
    <w:p w:rsidR="00E37142" w:rsidRPr="0064693C" w:rsidRDefault="00E37142" w:rsidP="00B07E8E">
      <w:pPr>
        <w:pStyle w:val="2"/>
        <w:numPr>
          <w:ilvl w:val="0"/>
          <w:numId w:val="5"/>
        </w:numPr>
        <w:rPr>
          <w:rFonts w:ascii="13" w:hAnsi="13"/>
          <w:bCs/>
          <w:szCs w:val="24"/>
          <w:lang w:val="en-US"/>
        </w:rPr>
      </w:pPr>
      <w:bookmarkStart w:id="0" w:name="_Toc381195875"/>
      <w:bookmarkStart w:id="1" w:name="_Toc381199325"/>
      <w:r w:rsidRPr="0064693C">
        <w:rPr>
          <w:rFonts w:ascii="13" w:hAnsi="13"/>
          <w:bCs/>
          <w:szCs w:val="24"/>
          <w:lang w:val="en-US"/>
        </w:rPr>
        <w:t xml:space="preserve">General rules of the accounting reporting and short description of the main provisions of the accounting policy </w:t>
      </w:r>
      <w:bookmarkEnd w:id="0"/>
      <w:bookmarkEnd w:id="1"/>
    </w:p>
    <w:p w:rsidR="00E37142" w:rsidRPr="0064693C" w:rsidRDefault="00E37142" w:rsidP="00E37142">
      <w:pPr>
        <w:ind w:firstLine="709"/>
        <w:jc w:val="both"/>
        <w:rPr>
          <w:rFonts w:ascii="13" w:hAnsi="13"/>
          <w:sz w:val="24"/>
          <w:szCs w:val="24"/>
          <w:lang w:val="en-US"/>
        </w:rPr>
      </w:pPr>
    </w:p>
    <w:p w:rsidR="00E37142" w:rsidRPr="0064693C" w:rsidRDefault="00E37142" w:rsidP="00E37142">
      <w:pPr>
        <w:pStyle w:val="ab"/>
        <w:tabs>
          <w:tab w:val="left" w:pos="567"/>
        </w:tabs>
        <w:autoSpaceDE w:val="0"/>
        <w:autoSpaceDN w:val="0"/>
        <w:adjustRightInd w:val="0"/>
        <w:ind w:left="0" w:firstLine="709"/>
        <w:jc w:val="both"/>
        <w:outlineLvl w:val="1"/>
        <w:rPr>
          <w:sz w:val="24"/>
          <w:szCs w:val="24"/>
          <w:lang w:val="en-US" w:eastAsia="ru-RU"/>
        </w:rPr>
      </w:pPr>
      <w:r w:rsidRPr="0064693C">
        <w:rPr>
          <w:sz w:val="24"/>
          <w:szCs w:val="24"/>
          <w:lang w:val="en-US" w:eastAsia="ru-RU"/>
        </w:rPr>
        <w:t>Annual accounting statements of the company are prepared according to requirements of the legislation of the Russian Federation.</w:t>
      </w:r>
    </w:p>
    <w:p w:rsidR="00E37142" w:rsidRPr="0064693C" w:rsidRDefault="00E37142" w:rsidP="00E37142">
      <w:pPr>
        <w:pStyle w:val="ab"/>
        <w:tabs>
          <w:tab w:val="left" w:pos="567"/>
        </w:tabs>
        <w:autoSpaceDE w:val="0"/>
        <w:autoSpaceDN w:val="0"/>
        <w:adjustRightInd w:val="0"/>
        <w:ind w:left="0" w:firstLine="709"/>
        <w:jc w:val="both"/>
        <w:outlineLvl w:val="1"/>
        <w:rPr>
          <w:sz w:val="24"/>
          <w:szCs w:val="24"/>
          <w:lang w:val="en-US" w:eastAsia="ru-RU"/>
        </w:rPr>
      </w:pPr>
      <w:r w:rsidRPr="0064693C">
        <w:rPr>
          <w:sz w:val="24"/>
          <w:szCs w:val="24"/>
          <w:lang w:val="en-US" w:eastAsia="ru-RU"/>
        </w:rPr>
        <w:t>The business accounting of property, obligations and economic transactions is done on the basis of natural measuring instruments in money terms by the overall, continuous, documentary and interconnected recognition. Indicators of annual accounting records are resulted proceeding from a principle of importance for a financial standing estimation by all interested users.</w:t>
      </w:r>
    </w:p>
    <w:p w:rsidR="00E37142" w:rsidRPr="0064693C" w:rsidRDefault="00E37142" w:rsidP="00E37142">
      <w:pPr>
        <w:pStyle w:val="ab"/>
        <w:tabs>
          <w:tab w:val="left" w:pos="567"/>
        </w:tabs>
        <w:autoSpaceDE w:val="0"/>
        <w:autoSpaceDN w:val="0"/>
        <w:adjustRightInd w:val="0"/>
        <w:ind w:left="0" w:firstLine="709"/>
        <w:jc w:val="both"/>
        <w:outlineLvl w:val="1"/>
        <w:rPr>
          <w:sz w:val="24"/>
          <w:szCs w:val="24"/>
          <w:lang w:val="en-US" w:eastAsia="ru-RU"/>
        </w:rPr>
      </w:pPr>
      <w:r w:rsidRPr="0064693C">
        <w:rPr>
          <w:sz w:val="24"/>
          <w:szCs w:val="24"/>
          <w:lang w:val="en-US" w:eastAsia="ru-RU"/>
        </w:rPr>
        <w:t xml:space="preserve">The accounting statements data are presented in thousand </w:t>
      </w:r>
      <w:proofErr w:type="spellStart"/>
      <w:r w:rsidRPr="0064693C">
        <w:rPr>
          <w:sz w:val="24"/>
          <w:szCs w:val="24"/>
          <w:lang w:val="en-US" w:eastAsia="ru-RU"/>
        </w:rPr>
        <w:t>roubles</w:t>
      </w:r>
      <w:proofErr w:type="spellEnd"/>
      <w:r w:rsidRPr="0064693C">
        <w:rPr>
          <w:sz w:val="24"/>
          <w:szCs w:val="24"/>
          <w:lang w:val="en-US" w:eastAsia="ru-RU"/>
        </w:rPr>
        <w:t xml:space="preserve">. </w:t>
      </w:r>
    </w:p>
    <w:p w:rsidR="00DB6026" w:rsidRPr="00E37142" w:rsidRDefault="00E37142" w:rsidP="00E37142">
      <w:pPr>
        <w:ind w:right="-2" w:firstLine="709"/>
        <w:jc w:val="both"/>
        <w:rPr>
          <w:sz w:val="24"/>
          <w:szCs w:val="24"/>
          <w:lang w:val="en-US" w:eastAsia="ru-RU"/>
        </w:rPr>
      </w:pPr>
      <w:r w:rsidRPr="0064693C">
        <w:rPr>
          <w:sz w:val="24"/>
          <w:szCs w:val="24"/>
          <w:lang w:val="en-US" w:eastAsia="ru-RU"/>
        </w:rPr>
        <w:t>The accounting statements of the Company are prepared in accordance with applicable regulations of the Russian Federation on accounting and reporting, in particular, Federal Law dated 06.12.2011 # 402-FZ «About the business accounting», Provisions on conducting the business accounting and accounting reporting in the Russian Federation, approved by Order of the Ministry of Finance of the Russian Federation from 29.07.1998 # 34-n (with amendments and modifications), Provisions on the business accounting, approved by orders of the Ministry of Finance of Russia</w:t>
      </w:r>
      <w:r w:rsidR="00DB6026" w:rsidRPr="00E37142">
        <w:rPr>
          <w:sz w:val="24"/>
          <w:szCs w:val="24"/>
          <w:lang w:val="en-US" w:eastAsia="ru-RU"/>
        </w:rPr>
        <w:t>.</w:t>
      </w:r>
    </w:p>
    <w:p w:rsidR="004A3D91" w:rsidRPr="00E37142" w:rsidRDefault="004A3D91" w:rsidP="00DB6026">
      <w:pPr>
        <w:shd w:val="clear" w:color="auto" w:fill="FFFFFF"/>
        <w:tabs>
          <w:tab w:val="left" w:pos="851"/>
          <w:tab w:val="left" w:pos="1418"/>
        </w:tabs>
        <w:spacing w:line="322" w:lineRule="atLeast"/>
        <w:ind w:firstLine="709"/>
        <w:jc w:val="both"/>
        <w:rPr>
          <w:sz w:val="24"/>
          <w:szCs w:val="24"/>
          <w:lang w:val="en-US"/>
        </w:rPr>
      </w:pPr>
    </w:p>
    <w:p w:rsidR="00C46795" w:rsidRPr="00E37142" w:rsidRDefault="00C46795" w:rsidP="00DB6026">
      <w:pPr>
        <w:shd w:val="clear" w:color="auto" w:fill="FFFFFF"/>
        <w:tabs>
          <w:tab w:val="left" w:pos="851"/>
          <w:tab w:val="left" w:pos="1418"/>
        </w:tabs>
        <w:spacing w:line="322" w:lineRule="atLeast"/>
        <w:ind w:firstLine="709"/>
        <w:jc w:val="both"/>
        <w:rPr>
          <w:sz w:val="24"/>
          <w:szCs w:val="24"/>
          <w:lang w:val="en-US"/>
        </w:rPr>
      </w:pPr>
    </w:p>
    <w:p w:rsidR="00C46795" w:rsidRPr="00E37142" w:rsidRDefault="00C46795" w:rsidP="00DB6026">
      <w:pPr>
        <w:shd w:val="clear" w:color="auto" w:fill="FFFFFF"/>
        <w:tabs>
          <w:tab w:val="left" w:pos="851"/>
          <w:tab w:val="left" w:pos="1418"/>
        </w:tabs>
        <w:spacing w:line="322" w:lineRule="atLeast"/>
        <w:ind w:firstLine="709"/>
        <w:jc w:val="both"/>
        <w:rPr>
          <w:sz w:val="24"/>
          <w:szCs w:val="24"/>
          <w:lang w:val="en-US"/>
        </w:rPr>
      </w:pPr>
    </w:p>
    <w:p w:rsidR="000B52FD" w:rsidRPr="0064693C" w:rsidRDefault="000B52FD" w:rsidP="000B52FD">
      <w:pPr>
        <w:tabs>
          <w:tab w:val="left" w:pos="567"/>
          <w:tab w:val="left" w:pos="851"/>
        </w:tabs>
        <w:autoSpaceDE w:val="0"/>
        <w:autoSpaceDN w:val="0"/>
        <w:adjustRightInd w:val="0"/>
        <w:ind w:firstLine="709"/>
        <w:jc w:val="both"/>
        <w:outlineLvl w:val="1"/>
        <w:rPr>
          <w:sz w:val="24"/>
          <w:szCs w:val="24"/>
          <w:lang w:val="en-US" w:eastAsia="ru-RU"/>
        </w:rPr>
      </w:pPr>
      <w:r w:rsidRPr="0064693C">
        <w:rPr>
          <w:sz w:val="24"/>
          <w:szCs w:val="24"/>
          <w:lang w:val="en-US" w:eastAsia="ru-RU"/>
        </w:rPr>
        <w:t>The Company’s accounting policy is generated proceeding from assumptions that:</w:t>
      </w:r>
    </w:p>
    <w:p w:rsidR="000B52FD" w:rsidRPr="0064693C" w:rsidRDefault="000B52FD" w:rsidP="000B52FD">
      <w:pPr>
        <w:pStyle w:val="ab"/>
        <w:numPr>
          <w:ilvl w:val="0"/>
          <w:numId w:val="3"/>
        </w:numPr>
        <w:autoSpaceDE w:val="0"/>
        <w:autoSpaceDN w:val="0"/>
        <w:adjustRightInd w:val="0"/>
        <w:ind w:left="0" w:firstLine="709"/>
        <w:jc w:val="both"/>
        <w:outlineLvl w:val="1"/>
        <w:rPr>
          <w:sz w:val="24"/>
          <w:szCs w:val="24"/>
          <w:lang w:val="en-US" w:eastAsia="ru-RU"/>
        </w:rPr>
      </w:pPr>
      <w:r w:rsidRPr="0064693C">
        <w:rPr>
          <w:sz w:val="24"/>
          <w:szCs w:val="24"/>
          <w:lang w:val="en-US" w:eastAsia="ru-RU"/>
        </w:rPr>
        <w:t>assets and obligations of the Company exist separately from assets and obligations of proprietors and assets and obligations of other companies (the economic entity assumption);</w:t>
      </w:r>
    </w:p>
    <w:p w:rsidR="000B52FD" w:rsidRPr="0064693C" w:rsidRDefault="000B52FD" w:rsidP="000B52FD">
      <w:pPr>
        <w:pStyle w:val="ab"/>
        <w:numPr>
          <w:ilvl w:val="0"/>
          <w:numId w:val="3"/>
        </w:numPr>
        <w:tabs>
          <w:tab w:val="left" w:pos="567"/>
        </w:tabs>
        <w:autoSpaceDE w:val="0"/>
        <w:autoSpaceDN w:val="0"/>
        <w:adjustRightInd w:val="0"/>
        <w:ind w:left="0" w:firstLine="709"/>
        <w:jc w:val="both"/>
        <w:outlineLvl w:val="1"/>
        <w:rPr>
          <w:sz w:val="24"/>
          <w:szCs w:val="24"/>
          <w:lang w:val="en-US" w:eastAsia="ru-RU"/>
        </w:rPr>
      </w:pPr>
      <w:r w:rsidRPr="0064693C">
        <w:rPr>
          <w:sz w:val="24"/>
          <w:szCs w:val="24"/>
          <w:lang w:val="en-US" w:eastAsia="ru-RU"/>
        </w:rPr>
        <w:t>the Company will continue the activity in the foreseeable future and it does not have intentions and necessity of liquidation or essential reducing of activity and, hence, the obligations will be repaid when due hereunder (the accounting continuity assumption);</w:t>
      </w:r>
    </w:p>
    <w:p w:rsidR="000B52FD" w:rsidRPr="0064693C" w:rsidRDefault="000B52FD" w:rsidP="000B52FD">
      <w:pPr>
        <w:pStyle w:val="ab"/>
        <w:numPr>
          <w:ilvl w:val="0"/>
          <w:numId w:val="3"/>
        </w:numPr>
        <w:autoSpaceDE w:val="0"/>
        <w:autoSpaceDN w:val="0"/>
        <w:adjustRightInd w:val="0"/>
        <w:ind w:left="0" w:firstLine="709"/>
        <w:jc w:val="both"/>
        <w:outlineLvl w:val="1"/>
        <w:rPr>
          <w:sz w:val="24"/>
          <w:szCs w:val="24"/>
          <w:lang w:val="en-US" w:eastAsia="ru-RU"/>
        </w:rPr>
      </w:pPr>
      <w:r w:rsidRPr="0064693C">
        <w:rPr>
          <w:sz w:val="24"/>
          <w:szCs w:val="24"/>
          <w:lang w:val="en-US" w:eastAsia="ru-RU"/>
        </w:rPr>
        <w:t>the accounting policy adopted by the Company is applied in succession from one accounting year to another (assumption of sequence of application of accounting policy);</w:t>
      </w:r>
    </w:p>
    <w:p w:rsidR="00226A22" w:rsidRPr="000B52FD" w:rsidRDefault="000B52FD" w:rsidP="000B52FD">
      <w:pPr>
        <w:pStyle w:val="a6"/>
        <w:numPr>
          <w:ilvl w:val="0"/>
          <w:numId w:val="3"/>
        </w:numPr>
        <w:spacing w:after="0"/>
        <w:ind w:left="0" w:firstLine="709"/>
        <w:jc w:val="both"/>
        <w:rPr>
          <w:lang w:val="en-US"/>
        </w:rPr>
      </w:pPr>
      <w:proofErr w:type="gramStart"/>
      <w:r w:rsidRPr="0064693C">
        <w:rPr>
          <w:lang w:val="en-US"/>
        </w:rPr>
        <w:lastRenderedPageBreak/>
        <w:t>facts</w:t>
      </w:r>
      <w:proofErr w:type="gramEnd"/>
      <w:r w:rsidRPr="0064693C">
        <w:rPr>
          <w:lang w:val="en-US"/>
        </w:rPr>
        <w:t xml:space="preserve"> of economic activities of the Company concern that accounting period in which they took place, irrespective of actual time of receipt or payment of the money funds connected with these facts (assumption of time definiteness of facts of economic activities</w:t>
      </w:r>
      <w:r>
        <w:rPr>
          <w:lang w:val="en-US"/>
        </w:rPr>
        <w:t>)</w:t>
      </w:r>
      <w:r w:rsidR="00082E50" w:rsidRPr="000B52FD">
        <w:rPr>
          <w:lang w:val="en-US"/>
        </w:rPr>
        <w:t>.</w:t>
      </w:r>
    </w:p>
    <w:p w:rsidR="007B773B" w:rsidRPr="000B52FD" w:rsidRDefault="007B773B" w:rsidP="007B773B">
      <w:pPr>
        <w:autoSpaceDE w:val="0"/>
        <w:autoSpaceDN w:val="0"/>
        <w:adjustRightInd w:val="0"/>
        <w:ind w:firstLine="540"/>
        <w:jc w:val="both"/>
        <w:rPr>
          <w:sz w:val="24"/>
          <w:szCs w:val="24"/>
          <w:lang w:val="en-US" w:eastAsia="ru-RU"/>
        </w:rPr>
      </w:pPr>
    </w:p>
    <w:p w:rsidR="000F088F" w:rsidRPr="0064693C" w:rsidRDefault="000F088F" w:rsidP="000F088F">
      <w:pPr>
        <w:ind w:firstLine="709"/>
        <w:jc w:val="both"/>
        <w:rPr>
          <w:sz w:val="24"/>
          <w:szCs w:val="24"/>
          <w:lang w:val="en-US" w:eastAsia="ru-RU"/>
        </w:rPr>
      </w:pPr>
      <w:proofErr w:type="gramStart"/>
      <w:r w:rsidRPr="0064693C">
        <w:rPr>
          <w:b/>
          <w:bCs/>
          <w:i/>
          <w:iCs/>
          <w:sz w:val="24"/>
          <w:szCs w:val="24"/>
          <w:lang w:val="en-US" w:eastAsia="ru-RU"/>
        </w:rPr>
        <w:t>Fixed Assets.</w:t>
      </w:r>
      <w:proofErr w:type="gramEnd"/>
      <w:r w:rsidRPr="0064693C">
        <w:rPr>
          <w:b/>
          <w:bCs/>
          <w:i/>
          <w:iCs/>
          <w:sz w:val="24"/>
          <w:szCs w:val="24"/>
          <w:lang w:val="en-US" w:eastAsia="ru-RU"/>
        </w:rPr>
        <w:t xml:space="preserve"> </w:t>
      </w:r>
      <w:r w:rsidRPr="0064693C">
        <w:rPr>
          <w:sz w:val="24"/>
          <w:szCs w:val="24"/>
          <w:lang w:val="en-US" w:eastAsia="ru-RU"/>
        </w:rPr>
        <w:t xml:space="preserve">Asset accounting is performed in accordance with RAS 6/01, approved by Order of the Ministry of Finance of Russia from 30.03.2001 # 26n (with amendments and modifications). </w:t>
      </w:r>
    </w:p>
    <w:p w:rsidR="000F088F" w:rsidRPr="0064693C" w:rsidRDefault="000F088F" w:rsidP="000F088F">
      <w:pPr>
        <w:pStyle w:val="a6"/>
        <w:spacing w:after="0"/>
        <w:ind w:left="0" w:firstLine="709"/>
        <w:jc w:val="both"/>
        <w:rPr>
          <w:lang w:val="en-US"/>
        </w:rPr>
      </w:pPr>
      <w:r w:rsidRPr="0064693C">
        <w:rPr>
          <w:lang w:val="en-US"/>
        </w:rPr>
        <w:t>Methods of depreciation and amortization for separate groups of fixed assets items:</w:t>
      </w:r>
    </w:p>
    <w:p w:rsidR="000F088F" w:rsidRPr="0064693C" w:rsidRDefault="000F088F" w:rsidP="000F088F">
      <w:pPr>
        <w:pStyle w:val="a6"/>
        <w:spacing w:after="0"/>
        <w:ind w:left="0" w:firstLine="709"/>
        <w:jc w:val="both"/>
        <w:rPr>
          <w:lang w:val="en-US"/>
        </w:rPr>
      </w:pPr>
      <w:r w:rsidRPr="0064693C">
        <w:rPr>
          <w:lang w:val="en-US"/>
        </w:rPr>
        <w:t xml:space="preserve">Depreciation of fixed assets is added by straight-line method within rates of the Russian Federations established by Resolution of the Government #1 from 01.01.2002 «About classification of the fixed assets included in amortization groups». </w:t>
      </w:r>
    </w:p>
    <w:p w:rsidR="000F088F" w:rsidRPr="0064693C" w:rsidRDefault="000F088F" w:rsidP="000F088F">
      <w:pPr>
        <w:pStyle w:val="21"/>
        <w:tabs>
          <w:tab w:val="left" w:pos="1701"/>
        </w:tabs>
        <w:ind w:firstLine="709"/>
        <w:jc w:val="both"/>
        <w:rPr>
          <w:szCs w:val="24"/>
          <w:lang w:val="en-US" w:eastAsia="ru-RU"/>
        </w:rPr>
      </w:pPr>
      <w:r w:rsidRPr="0064693C">
        <w:rPr>
          <w:szCs w:val="24"/>
          <w:lang w:val="en-US" w:eastAsia="ru-RU"/>
        </w:rPr>
        <w:t xml:space="preserve">Methods of estimation of items of the fixed assets received under contracts, providing execution of obligations (payment) by </w:t>
      </w:r>
      <w:r w:rsidR="00E83162">
        <w:rPr>
          <w:szCs w:val="24"/>
          <w:lang w:val="en-US" w:eastAsia="ru-RU"/>
        </w:rPr>
        <w:t>non-monetary</w:t>
      </w:r>
      <w:r w:rsidRPr="0064693C">
        <w:rPr>
          <w:szCs w:val="24"/>
          <w:lang w:val="en-US" w:eastAsia="ru-RU"/>
        </w:rPr>
        <w:t xml:space="preserve"> </w:t>
      </w:r>
      <w:proofErr w:type="spellStart"/>
      <w:r w:rsidRPr="0064693C">
        <w:rPr>
          <w:szCs w:val="24"/>
          <w:lang w:val="en-US" w:eastAsia="ru-RU"/>
        </w:rPr>
        <w:t>funds</w:t>
      </w:r>
      <w:proofErr w:type="spellEnd"/>
      <w:r w:rsidRPr="0064693C">
        <w:rPr>
          <w:szCs w:val="24"/>
          <w:lang w:val="en-US" w:eastAsia="ru-RU"/>
        </w:rPr>
        <w:t>:</w:t>
      </w:r>
    </w:p>
    <w:p w:rsidR="000F088F" w:rsidRPr="0064693C" w:rsidRDefault="000F088F" w:rsidP="000F088F">
      <w:pPr>
        <w:pStyle w:val="21"/>
        <w:tabs>
          <w:tab w:val="num" w:pos="1263"/>
          <w:tab w:val="left" w:pos="1701"/>
        </w:tabs>
        <w:ind w:firstLine="709"/>
        <w:jc w:val="both"/>
        <w:rPr>
          <w:szCs w:val="24"/>
          <w:lang w:val="en-US" w:eastAsia="ru-RU"/>
        </w:rPr>
      </w:pPr>
      <w:r w:rsidRPr="0064693C">
        <w:rPr>
          <w:szCs w:val="24"/>
          <w:lang w:val="en-US" w:eastAsia="ru-RU"/>
        </w:rPr>
        <w:t>The items of fixed assets received by the Company under contracts, providing execution of obligations (payment) not by money funds (in particular under exchange contracts), are estimated at cost of the values which are transferred or subject to transfer by the Company. Cost of the values, which are transferred or subject to transfer by the Company, is established from the price on which in comparable circumstances the Company usually determines cost of similar values.</w:t>
      </w:r>
    </w:p>
    <w:p w:rsidR="00E665C0" w:rsidRPr="000F088F" w:rsidRDefault="000F088F" w:rsidP="000F088F">
      <w:pPr>
        <w:pStyle w:val="21"/>
        <w:tabs>
          <w:tab w:val="num" w:pos="1263"/>
          <w:tab w:val="left" w:pos="1701"/>
        </w:tabs>
        <w:ind w:firstLine="709"/>
        <w:jc w:val="both"/>
        <w:rPr>
          <w:szCs w:val="24"/>
          <w:lang w:val="en-US" w:eastAsia="ru-RU"/>
        </w:rPr>
      </w:pPr>
      <w:r w:rsidRPr="0064693C">
        <w:rPr>
          <w:szCs w:val="24"/>
          <w:lang w:val="en-US" w:eastAsia="ru-RU"/>
        </w:rPr>
        <w:t>The terms of useful use of items of fixed assets recognized by the company (by primary groups) are included in the explanatory note to the accounting balance sheet and the profit and loss statement in table</w:t>
      </w:r>
      <w:r>
        <w:rPr>
          <w:szCs w:val="24"/>
          <w:lang w:val="en-US" w:eastAsia="ru-RU"/>
        </w:rPr>
        <w:t xml:space="preserve"> </w:t>
      </w:r>
      <w:r w:rsidR="00E665C0" w:rsidRPr="000F088F">
        <w:rPr>
          <w:szCs w:val="24"/>
          <w:lang w:val="en-US" w:eastAsia="ru-RU"/>
        </w:rPr>
        <w:t>5.3.2.</w:t>
      </w:r>
    </w:p>
    <w:p w:rsidR="00B04811" w:rsidRPr="000F088F" w:rsidRDefault="00B04811" w:rsidP="004034FB">
      <w:pPr>
        <w:pStyle w:val="21"/>
        <w:tabs>
          <w:tab w:val="num" w:pos="1263"/>
          <w:tab w:val="left" w:pos="1701"/>
        </w:tabs>
        <w:jc w:val="both"/>
        <w:rPr>
          <w:szCs w:val="24"/>
          <w:lang w:val="en-US" w:eastAsia="ru-RU"/>
        </w:rPr>
      </w:pPr>
    </w:p>
    <w:p w:rsidR="00B04811" w:rsidRPr="00EA6AAD" w:rsidRDefault="00EA6AAD" w:rsidP="001A05B9">
      <w:pPr>
        <w:tabs>
          <w:tab w:val="left" w:pos="709"/>
        </w:tabs>
        <w:ind w:firstLine="709"/>
        <w:jc w:val="both"/>
        <w:rPr>
          <w:sz w:val="24"/>
          <w:szCs w:val="24"/>
          <w:lang w:val="en-US" w:eastAsia="ru-RU"/>
        </w:rPr>
      </w:pPr>
      <w:proofErr w:type="gramStart"/>
      <w:r w:rsidRPr="0064693C">
        <w:rPr>
          <w:b/>
          <w:bCs/>
          <w:i/>
          <w:iCs/>
          <w:sz w:val="24"/>
          <w:szCs w:val="24"/>
          <w:lang w:val="en-US" w:eastAsia="ru-RU"/>
        </w:rPr>
        <w:t>Intangible Assets.</w:t>
      </w:r>
      <w:proofErr w:type="gramEnd"/>
      <w:r w:rsidRPr="0064693C">
        <w:rPr>
          <w:b/>
          <w:bCs/>
          <w:i/>
          <w:iCs/>
          <w:sz w:val="24"/>
          <w:szCs w:val="24"/>
          <w:lang w:val="en-US" w:eastAsia="ru-RU"/>
        </w:rPr>
        <w:t xml:space="preserve"> </w:t>
      </w:r>
      <w:r w:rsidRPr="0064693C">
        <w:rPr>
          <w:sz w:val="24"/>
          <w:szCs w:val="24"/>
          <w:lang w:val="en-US" w:eastAsia="ru-RU"/>
        </w:rPr>
        <w:t>Intangible asset accounting is performed in accordance with RAS 14/2007, approved by Order of the Ministry of Finance of Russia from 27.12.2007 # 153n (with amendments and modifications</w:t>
      </w:r>
      <w:r w:rsidR="00B04811" w:rsidRPr="00EA6AAD">
        <w:rPr>
          <w:sz w:val="24"/>
          <w:szCs w:val="24"/>
          <w:lang w:val="en-US" w:eastAsia="ru-RU"/>
        </w:rPr>
        <w:t xml:space="preserve">). </w:t>
      </w:r>
    </w:p>
    <w:p w:rsidR="007B039D" w:rsidRPr="00EA6AAD" w:rsidRDefault="007B039D" w:rsidP="007B039D">
      <w:pPr>
        <w:pStyle w:val="ab"/>
        <w:ind w:left="709" w:right="-2"/>
        <w:jc w:val="both"/>
        <w:rPr>
          <w:sz w:val="24"/>
          <w:szCs w:val="24"/>
          <w:lang w:val="en-US" w:eastAsia="ru-RU"/>
        </w:rPr>
      </w:pPr>
    </w:p>
    <w:p w:rsidR="004E1781" w:rsidRPr="00EA6AAD" w:rsidRDefault="00EA6AAD" w:rsidP="00BB6B0A">
      <w:pPr>
        <w:keepNext/>
        <w:keepLines/>
        <w:spacing w:after="120"/>
        <w:ind w:firstLine="709"/>
        <w:jc w:val="both"/>
        <w:rPr>
          <w:sz w:val="24"/>
          <w:szCs w:val="24"/>
          <w:lang w:val="en-US" w:eastAsia="ru-RU"/>
        </w:rPr>
      </w:pPr>
      <w:r w:rsidRPr="0064693C">
        <w:rPr>
          <w:sz w:val="24"/>
          <w:szCs w:val="24"/>
          <w:lang w:val="en-US" w:eastAsia="ru-RU"/>
        </w:rPr>
        <w:t>The terms of useful use of intangible assets recognized by the company in</w:t>
      </w:r>
      <w:r w:rsidR="00B8557A" w:rsidRPr="00EA6AAD">
        <w:rPr>
          <w:sz w:val="24"/>
          <w:szCs w:val="24"/>
          <w:lang w:val="en-US" w:eastAsia="ru-RU"/>
        </w:rPr>
        <w:t xml:space="preserve"> 201</w:t>
      </w:r>
      <w:r w:rsidR="000407A5" w:rsidRPr="00EA6AAD">
        <w:rPr>
          <w:sz w:val="24"/>
          <w:szCs w:val="24"/>
          <w:lang w:val="en-US" w:eastAsia="ru-RU"/>
        </w:rPr>
        <w:t>4</w:t>
      </w:r>
      <w:r w:rsidR="00226A22" w:rsidRPr="00EA6AAD">
        <w:rPr>
          <w:sz w:val="24"/>
          <w:szCs w:val="24"/>
          <w:lang w:val="en-US" w:eastAsia="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31"/>
        <w:gridCol w:w="3725"/>
      </w:tblGrid>
      <w:tr w:rsidR="00B35A9C" w:rsidRPr="00E83162" w:rsidTr="00E177BA">
        <w:trPr>
          <w:cantSplit/>
          <w:trHeight w:val="550"/>
          <w:jc w:val="center"/>
        </w:trPr>
        <w:tc>
          <w:tcPr>
            <w:tcW w:w="5531" w:type="dxa"/>
            <w:tcBorders>
              <w:bottom w:val="single" w:sz="4" w:space="0" w:color="auto"/>
            </w:tcBorders>
          </w:tcPr>
          <w:p w:rsidR="000460C6" w:rsidRPr="00836721" w:rsidRDefault="00E83162" w:rsidP="00BB6B0A">
            <w:pPr>
              <w:keepNext/>
              <w:keepLines/>
              <w:ind w:firstLine="709"/>
              <w:jc w:val="center"/>
              <w:rPr>
                <w:b/>
                <w:lang w:val="ru-RU"/>
              </w:rPr>
            </w:pPr>
            <w:proofErr w:type="spellStart"/>
            <w:r w:rsidRPr="00E83162">
              <w:rPr>
                <w:b/>
                <w:lang w:val="ru-RU"/>
              </w:rPr>
              <w:t>Intangible</w:t>
            </w:r>
            <w:proofErr w:type="spellEnd"/>
            <w:r w:rsidRPr="00E83162">
              <w:rPr>
                <w:b/>
                <w:lang w:val="ru-RU"/>
              </w:rPr>
              <w:t xml:space="preserve"> </w:t>
            </w:r>
            <w:proofErr w:type="spellStart"/>
            <w:r w:rsidRPr="00E83162">
              <w:rPr>
                <w:b/>
                <w:lang w:val="ru-RU"/>
              </w:rPr>
              <w:t>Assets</w:t>
            </w:r>
            <w:proofErr w:type="spellEnd"/>
            <w:r w:rsidRPr="00E83162">
              <w:rPr>
                <w:b/>
                <w:lang w:val="ru-RU"/>
              </w:rPr>
              <w:t xml:space="preserve"> </w:t>
            </w:r>
            <w:proofErr w:type="spellStart"/>
            <w:r w:rsidRPr="00E83162">
              <w:rPr>
                <w:b/>
                <w:lang w:val="ru-RU"/>
              </w:rPr>
              <w:t>Group</w:t>
            </w:r>
            <w:proofErr w:type="spellEnd"/>
          </w:p>
        </w:tc>
        <w:tc>
          <w:tcPr>
            <w:tcW w:w="3725" w:type="dxa"/>
          </w:tcPr>
          <w:p w:rsidR="000460C6" w:rsidRPr="00E83162" w:rsidRDefault="00E83162" w:rsidP="00BB6B0A">
            <w:pPr>
              <w:keepNext/>
              <w:keepLines/>
              <w:jc w:val="center"/>
              <w:rPr>
                <w:b/>
                <w:lang w:val="en-US"/>
              </w:rPr>
            </w:pPr>
            <w:r w:rsidRPr="00E83162">
              <w:rPr>
                <w:b/>
                <w:lang w:val="en-US"/>
              </w:rPr>
              <w:t>Term of useful use (number of years) of items, which transfer of ownership was accepted</w:t>
            </w:r>
          </w:p>
        </w:tc>
      </w:tr>
      <w:tr w:rsidR="00264C67" w:rsidRPr="00836721" w:rsidTr="00E177BA">
        <w:trPr>
          <w:jc w:val="center"/>
        </w:trPr>
        <w:tc>
          <w:tcPr>
            <w:tcW w:w="5531" w:type="dxa"/>
            <w:vAlign w:val="bottom"/>
          </w:tcPr>
          <w:p w:rsidR="00264C67" w:rsidRPr="00264C67" w:rsidRDefault="00264C67" w:rsidP="007C4502">
            <w:pPr>
              <w:keepNext/>
              <w:keepLines/>
              <w:rPr>
                <w:lang w:eastAsia="ru-RU"/>
              </w:rPr>
            </w:pPr>
            <w:r w:rsidRPr="00264C67">
              <w:rPr>
                <w:lang w:eastAsia="ru-RU"/>
              </w:rPr>
              <w:t>Exclusive rights on a trade mark</w:t>
            </w:r>
          </w:p>
        </w:tc>
        <w:tc>
          <w:tcPr>
            <w:tcW w:w="3725" w:type="dxa"/>
          </w:tcPr>
          <w:p w:rsidR="00264C67" w:rsidRPr="00836721" w:rsidRDefault="00264C67" w:rsidP="00674C4B">
            <w:pPr>
              <w:keepNext/>
              <w:keepLines/>
              <w:jc w:val="center"/>
              <w:rPr>
                <w:lang w:val="ru-RU" w:eastAsia="ru-RU"/>
              </w:rPr>
            </w:pPr>
            <w:r w:rsidRPr="00836721">
              <w:rPr>
                <w:lang w:val="ru-RU" w:eastAsia="ru-RU"/>
              </w:rPr>
              <w:t xml:space="preserve">9 - 10 </w:t>
            </w:r>
            <w:proofErr w:type="spellStart"/>
            <w:r w:rsidR="00E83162">
              <w:rPr>
                <w:lang w:val="ru-RU" w:eastAsia="ru-RU"/>
              </w:rPr>
              <w:t>years</w:t>
            </w:r>
            <w:proofErr w:type="spellEnd"/>
          </w:p>
        </w:tc>
      </w:tr>
      <w:tr w:rsidR="00264C67" w:rsidRPr="00836721" w:rsidTr="00E177BA">
        <w:trPr>
          <w:cantSplit/>
          <w:trHeight w:val="158"/>
          <w:jc w:val="center"/>
        </w:trPr>
        <w:tc>
          <w:tcPr>
            <w:tcW w:w="5531" w:type="dxa"/>
            <w:vAlign w:val="bottom"/>
          </w:tcPr>
          <w:p w:rsidR="00264C67" w:rsidRPr="00264C67" w:rsidRDefault="00264C67" w:rsidP="007C4502">
            <w:pPr>
              <w:keepNext/>
              <w:keepLines/>
              <w:rPr>
                <w:lang w:eastAsia="ru-RU"/>
              </w:rPr>
            </w:pPr>
            <w:r w:rsidRPr="00264C67">
              <w:rPr>
                <w:lang w:eastAsia="ru-RU"/>
              </w:rPr>
              <w:t>Exclusive rights on computer programs, DB</w:t>
            </w:r>
          </w:p>
        </w:tc>
        <w:tc>
          <w:tcPr>
            <w:tcW w:w="3725" w:type="dxa"/>
          </w:tcPr>
          <w:p w:rsidR="00264C67" w:rsidRPr="00836721" w:rsidRDefault="00264C67" w:rsidP="00674C4B">
            <w:pPr>
              <w:keepNext/>
              <w:keepLines/>
              <w:jc w:val="center"/>
              <w:rPr>
                <w:lang w:val="ru-RU" w:eastAsia="ru-RU"/>
              </w:rPr>
            </w:pPr>
            <w:r w:rsidRPr="00836721">
              <w:rPr>
                <w:lang w:val="ru-RU" w:eastAsia="ru-RU"/>
              </w:rPr>
              <w:t xml:space="preserve">3 - 10 </w:t>
            </w:r>
            <w:proofErr w:type="spellStart"/>
            <w:r w:rsidR="00E83162">
              <w:rPr>
                <w:lang w:val="ru-RU" w:eastAsia="ru-RU"/>
              </w:rPr>
              <w:t>years</w:t>
            </w:r>
            <w:proofErr w:type="spellEnd"/>
          </w:p>
        </w:tc>
      </w:tr>
      <w:tr w:rsidR="00264C67" w:rsidRPr="00836721" w:rsidTr="00E177BA">
        <w:trPr>
          <w:cantSplit/>
          <w:trHeight w:val="157"/>
          <w:jc w:val="center"/>
        </w:trPr>
        <w:tc>
          <w:tcPr>
            <w:tcW w:w="5531" w:type="dxa"/>
            <w:vAlign w:val="bottom"/>
          </w:tcPr>
          <w:p w:rsidR="00264C67" w:rsidRPr="00264C67" w:rsidRDefault="00264C67" w:rsidP="007C4502">
            <w:pPr>
              <w:rPr>
                <w:lang w:eastAsia="ru-RU"/>
              </w:rPr>
            </w:pPr>
            <w:r w:rsidRPr="00264C67">
              <w:rPr>
                <w:lang w:eastAsia="ru-RU"/>
              </w:rPr>
              <w:t>Exclusive rights on an invention, industrial pattern, utility model</w:t>
            </w:r>
          </w:p>
        </w:tc>
        <w:tc>
          <w:tcPr>
            <w:tcW w:w="3725" w:type="dxa"/>
          </w:tcPr>
          <w:p w:rsidR="00264C67" w:rsidRPr="00836721" w:rsidRDefault="00264C67" w:rsidP="00674C4B">
            <w:pPr>
              <w:jc w:val="center"/>
              <w:rPr>
                <w:lang w:val="ru-RU" w:eastAsia="ru-RU"/>
              </w:rPr>
            </w:pPr>
            <w:r w:rsidRPr="00836721">
              <w:rPr>
                <w:lang w:val="ru-RU" w:eastAsia="ru-RU"/>
              </w:rPr>
              <w:t xml:space="preserve">10 </w:t>
            </w:r>
            <w:proofErr w:type="spellStart"/>
            <w:r w:rsidR="00E83162">
              <w:rPr>
                <w:lang w:val="ru-RU" w:eastAsia="ru-RU"/>
              </w:rPr>
              <w:t>years</w:t>
            </w:r>
            <w:proofErr w:type="spellEnd"/>
          </w:p>
        </w:tc>
      </w:tr>
      <w:tr w:rsidR="00395815" w:rsidTr="00395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cantSplit/>
          <w:trHeight w:val="157"/>
          <w:jc w:val="center"/>
        </w:trPr>
        <w:tc>
          <w:tcPr>
            <w:tcW w:w="553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395815" w:rsidRDefault="00285137">
            <w:pPr>
              <w:spacing w:line="276" w:lineRule="auto"/>
              <w:rPr>
                <w:rFonts w:eastAsiaTheme="minorHAnsi"/>
                <w:sz w:val="22"/>
                <w:szCs w:val="22"/>
                <w:lang w:eastAsia="ru-RU"/>
              </w:rPr>
            </w:pPr>
            <w:r w:rsidRPr="00285137">
              <w:rPr>
                <w:lang w:eastAsia="ru-RU"/>
              </w:rPr>
              <w:t>R&amp;D deliverables</w:t>
            </w:r>
          </w:p>
        </w:tc>
        <w:tc>
          <w:tcPr>
            <w:tcW w:w="3725" w:type="dxa"/>
            <w:tcBorders>
              <w:top w:val="nil"/>
              <w:left w:val="nil"/>
              <w:bottom w:val="single" w:sz="8" w:space="0" w:color="auto"/>
              <w:right w:val="single" w:sz="8" w:space="0" w:color="auto"/>
            </w:tcBorders>
            <w:tcMar>
              <w:top w:w="0" w:type="dxa"/>
              <w:left w:w="108" w:type="dxa"/>
              <w:bottom w:w="0" w:type="dxa"/>
              <w:right w:w="108" w:type="dxa"/>
            </w:tcMar>
            <w:hideMark/>
          </w:tcPr>
          <w:p w:rsidR="00395815" w:rsidRDefault="00395815" w:rsidP="00674C4B">
            <w:pPr>
              <w:spacing w:line="276" w:lineRule="auto"/>
              <w:jc w:val="center"/>
              <w:rPr>
                <w:rFonts w:eastAsiaTheme="minorHAnsi"/>
                <w:sz w:val="22"/>
                <w:szCs w:val="22"/>
                <w:lang w:eastAsia="ru-RU"/>
              </w:rPr>
            </w:pPr>
            <w:r>
              <w:rPr>
                <w:lang w:eastAsia="ru-RU"/>
              </w:rPr>
              <w:t xml:space="preserve">5 </w:t>
            </w:r>
            <w:r w:rsidR="00E83162">
              <w:rPr>
                <w:lang w:eastAsia="ru-RU"/>
              </w:rPr>
              <w:t>years</w:t>
            </w:r>
          </w:p>
        </w:tc>
      </w:tr>
    </w:tbl>
    <w:p w:rsidR="004E1781" w:rsidRPr="00836721" w:rsidRDefault="004E1781" w:rsidP="00DF723E">
      <w:pPr>
        <w:ind w:firstLine="709"/>
        <w:jc w:val="both"/>
        <w:rPr>
          <w:rFonts w:ascii="13" w:hAnsi="13"/>
          <w:sz w:val="26"/>
          <w:szCs w:val="26"/>
          <w:lang w:val="ru-RU" w:eastAsia="ru-RU"/>
        </w:rPr>
      </w:pPr>
    </w:p>
    <w:p w:rsidR="00E30681" w:rsidRPr="0064693C" w:rsidRDefault="00E30681" w:rsidP="00E30681">
      <w:pPr>
        <w:pStyle w:val="21"/>
        <w:tabs>
          <w:tab w:val="left" w:pos="1701"/>
        </w:tabs>
        <w:ind w:firstLine="709"/>
        <w:jc w:val="both"/>
        <w:rPr>
          <w:szCs w:val="24"/>
          <w:lang w:val="en-US" w:eastAsia="ru-RU"/>
        </w:rPr>
      </w:pPr>
      <w:r w:rsidRPr="0064693C">
        <w:rPr>
          <w:szCs w:val="24"/>
          <w:lang w:val="en-US" w:eastAsia="ru-RU"/>
        </w:rPr>
        <w:t xml:space="preserve">Methods of estimation of the intangible assets acquired not for money funds: </w:t>
      </w:r>
    </w:p>
    <w:p w:rsidR="00E30681" w:rsidRPr="0064693C" w:rsidRDefault="00E30681" w:rsidP="00E30681">
      <w:pPr>
        <w:pStyle w:val="21"/>
        <w:tabs>
          <w:tab w:val="num" w:pos="1263"/>
          <w:tab w:val="left" w:pos="1701"/>
        </w:tabs>
        <w:ind w:firstLine="709"/>
        <w:jc w:val="both"/>
        <w:rPr>
          <w:szCs w:val="24"/>
          <w:lang w:val="en-US" w:eastAsia="ru-RU"/>
        </w:rPr>
      </w:pPr>
      <w:r w:rsidRPr="0064693C">
        <w:rPr>
          <w:szCs w:val="24"/>
          <w:lang w:val="en-US" w:eastAsia="ru-RU"/>
        </w:rPr>
        <w:t>The intangible assets received by the Company under contracts, providing execution of obligations (payment) not by money funds (in particular under exchange contracts), are estimated at cost of the values which are transferred or subject to transfer by the Company. Cost of the values, which are transferred or subject to transfer by the Company, is established from the price on which in comparable circumstances the Company usually determines cost of similar values.</w:t>
      </w:r>
    </w:p>
    <w:p w:rsidR="00E30681" w:rsidRPr="0064693C" w:rsidRDefault="00E30681" w:rsidP="00E30681">
      <w:pPr>
        <w:pStyle w:val="21"/>
        <w:tabs>
          <w:tab w:val="num" w:pos="851"/>
        </w:tabs>
        <w:ind w:firstLine="709"/>
        <w:jc w:val="both"/>
        <w:rPr>
          <w:szCs w:val="24"/>
          <w:lang w:val="en-US" w:eastAsia="ru-RU"/>
        </w:rPr>
      </w:pPr>
      <w:r w:rsidRPr="0064693C">
        <w:rPr>
          <w:szCs w:val="24"/>
          <w:lang w:val="en-US" w:eastAsia="ru-RU"/>
        </w:rPr>
        <w:t>Methods of determination of depreciation of intangible assets:</w:t>
      </w:r>
    </w:p>
    <w:p w:rsidR="00226A22" w:rsidRPr="00E30681" w:rsidRDefault="00E30681" w:rsidP="00E30681">
      <w:pPr>
        <w:pStyle w:val="a0"/>
        <w:ind w:firstLine="709"/>
        <w:rPr>
          <w:szCs w:val="24"/>
          <w:lang w:val="en-US" w:eastAsia="ru-RU"/>
        </w:rPr>
      </w:pPr>
      <w:r w:rsidRPr="0064693C">
        <w:rPr>
          <w:szCs w:val="24"/>
          <w:lang w:val="en-US" w:eastAsia="ru-RU"/>
        </w:rPr>
        <w:t>The sum of depreciation charges on intangible assets is determined on the rates calculated proceeding from their original cost and term of useful use (straight-line method</w:t>
      </w:r>
      <w:r w:rsidR="00226A22" w:rsidRPr="00E30681">
        <w:rPr>
          <w:szCs w:val="24"/>
          <w:lang w:val="en-US" w:eastAsia="ru-RU"/>
        </w:rPr>
        <w:t>).</w:t>
      </w:r>
    </w:p>
    <w:p w:rsidR="00E30681" w:rsidRPr="0064693C" w:rsidRDefault="00E30681" w:rsidP="00E30681">
      <w:pPr>
        <w:pStyle w:val="a0"/>
        <w:ind w:firstLine="709"/>
        <w:rPr>
          <w:szCs w:val="24"/>
          <w:lang w:val="en-US" w:eastAsia="ru-RU"/>
        </w:rPr>
      </w:pPr>
      <w:r w:rsidRPr="0064693C">
        <w:rPr>
          <w:szCs w:val="24"/>
          <w:lang w:val="en-US" w:eastAsia="ru-RU"/>
        </w:rPr>
        <w:t>Changes of terms of useful use of intangible assets:</w:t>
      </w:r>
    </w:p>
    <w:p w:rsidR="00E30681" w:rsidRPr="0064693C" w:rsidRDefault="00E30681" w:rsidP="00E30681">
      <w:pPr>
        <w:pStyle w:val="a0"/>
        <w:ind w:firstLine="709"/>
        <w:rPr>
          <w:szCs w:val="24"/>
          <w:lang w:val="en-US" w:eastAsia="ru-RU"/>
        </w:rPr>
      </w:pPr>
      <w:r w:rsidRPr="0064693C">
        <w:rPr>
          <w:szCs w:val="24"/>
          <w:lang w:val="en-US" w:eastAsia="ru-RU"/>
        </w:rPr>
        <w:t>Term of useful use of an intangible asset is annually checked by the Company on necessity of its specification. In case of essential change of duration of the period during which the Company assumes to use the assets, term of its useful use is specified. Arisen in this connection adjustments are recognized in the business accounting and the accounting statements at the beginning of an accounting year as changes in estimate values.</w:t>
      </w:r>
    </w:p>
    <w:p w:rsidR="00E30681" w:rsidRPr="0064693C" w:rsidRDefault="00E30681" w:rsidP="00E30681">
      <w:pPr>
        <w:tabs>
          <w:tab w:val="left" w:pos="709"/>
        </w:tabs>
        <w:ind w:firstLine="709"/>
        <w:jc w:val="both"/>
        <w:rPr>
          <w:sz w:val="24"/>
          <w:szCs w:val="24"/>
          <w:lang w:val="en-US" w:eastAsia="ru-RU"/>
        </w:rPr>
      </w:pPr>
      <w:r w:rsidRPr="0064693C">
        <w:rPr>
          <w:sz w:val="24"/>
          <w:szCs w:val="24"/>
          <w:lang w:val="en-US" w:eastAsia="ru-RU"/>
        </w:rPr>
        <w:t>Changes of methods of determination of intangible assets depreciation:</w:t>
      </w:r>
    </w:p>
    <w:p w:rsidR="00226A22" w:rsidRPr="00E30681" w:rsidRDefault="00E30681" w:rsidP="00E30681">
      <w:pPr>
        <w:autoSpaceDE w:val="0"/>
        <w:autoSpaceDN w:val="0"/>
        <w:adjustRightInd w:val="0"/>
        <w:ind w:firstLine="709"/>
        <w:jc w:val="both"/>
        <w:outlineLvl w:val="1"/>
        <w:rPr>
          <w:sz w:val="24"/>
          <w:szCs w:val="24"/>
          <w:lang w:val="en-US" w:eastAsia="ru-RU"/>
        </w:rPr>
      </w:pPr>
      <w:r w:rsidRPr="0064693C">
        <w:rPr>
          <w:sz w:val="24"/>
          <w:szCs w:val="24"/>
          <w:lang w:val="en-US" w:eastAsia="ru-RU"/>
        </w:rPr>
        <w:lastRenderedPageBreak/>
        <w:t>The method of determination of depreciation of an intangible asset is annually checked by the Company on necessity of its specification. If calculation of expected receipt of the future economic gains from an intangible asset use has essentially changed, the method of determination of depreciation of such assets changes accordingly. Arisen in this connection adjustments are recognized in the business accounting and the accounting statements at the beginning of an accounting year as changes in estimate values</w:t>
      </w:r>
      <w:r w:rsidR="00226A22" w:rsidRPr="00E30681">
        <w:rPr>
          <w:sz w:val="24"/>
          <w:szCs w:val="24"/>
          <w:lang w:val="en-US" w:eastAsia="ru-RU"/>
        </w:rPr>
        <w:t>.</w:t>
      </w:r>
    </w:p>
    <w:p w:rsidR="007268C9" w:rsidRPr="00E30681" w:rsidRDefault="007268C9" w:rsidP="00DF723E">
      <w:pPr>
        <w:autoSpaceDE w:val="0"/>
        <w:autoSpaceDN w:val="0"/>
        <w:adjustRightInd w:val="0"/>
        <w:ind w:firstLine="709"/>
        <w:jc w:val="both"/>
        <w:outlineLvl w:val="1"/>
        <w:rPr>
          <w:sz w:val="24"/>
          <w:szCs w:val="24"/>
          <w:lang w:val="en-US" w:eastAsia="ru-RU"/>
        </w:rPr>
      </w:pPr>
    </w:p>
    <w:p w:rsidR="00E30681" w:rsidRPr="0064693C" w:rsidRDefault="00E30681" w:rsidP="00E30681">
      <w:pPr>
        <w:ind w:firstLine="709"/>
        <w:jc w:val="both"/>
        <w:rPr>
          <w:sz w:val="24"/>
          <w:szCs w:val="24"/>
          <w:lang w:val="en-US" w:eastAsia="ru-RU"/>
        </w:rPr>
      </w:pPr>
      <w:proofErr w:type="gramStart"/>
      <w:r w:rsidRPr="0064693C">
        <w:rPr>
          <w:b/>
          <w:bCs/>
          <w:i/>
          <w:iCs/>
          <w:sz w:val="24"/>
          <w:szCs w:val="24"/>
          <w:lang w:val="en-US" w:eastAsia="ru-RU"/>
        </w:rPr>
        <w:t>Inventories.</w:t>
      </w:r>
      <w:proofErr w:type="gramEnd"/>
      <w:r w:rsidRPr="0064693C">
        <w:rPr>
          <w:b/>
          <w:bCs/>
          <w:i/>
          <w:iCs/>
          <w:sz w:val="24"/>
          <w:szCs w:val="24"/>
          <w:lang w:val="en-US" w:eastAsia="ru-RU"/>
        </w:rPr>
        <w:t xml:space="preserve"> </w:t>
      </w:r>
      <w:r w:rsidRPr="0064693C">
        <w:rPr>
          <w:sz w:val="24"/>
          <w:szCs w:val="24"/>
          <w:lang w:val="en-US" w:eastAsia="ru-RU"/>
        </w:rPr>
        <w:t xml:space="preserve">Accounting of inventories is performed in accordance with RAS 5/01, approved by Order of the Ministry of Finance of Russia from 09.06.2001 # 44n (with amendments and modifications). </w:t>
      </w:r>
    </w:p>
    <w:p w:rsidR="00E30681" w:rsidRPr="0064693C" w:rsidRDefault="00E30681" w:rsidP="00E30681">
      <w:pPr>
        <w:pStyle w:val="a6"/>
        <w:spacing w:after="0"/>
        <w:ind w:left="0" w:firstLine="709"/>
        <w:jc w:val="both"/>
        <w:rPr>
          <w:lang w:val="en-US"/>
        </w:rPr>
      </w:pPr>
      <w:r w:rsidRPr="0064693C">
        <w:rPr>
          <w:lang w:val="en-US"/>
        </w:rPr>
        <w:t xml:space="preserve">Methods of estimation of inventories: </w:t>
      </w:r>
    </w:p>
    <w:p w:rsidR="00B04811" w:rsidRPr="00E30681" w:rsidRDefault="00E30681" w:rsidP="00E30681">
      <w:pPr>
        <w:shd w:val="clear" w:color="auto" w:fill="FFFFFF"/>
        <w:ind w:firstLine="709"/>
        <w:jc w:val="both"/>
        <w:rPr>
          <w:sz w:val="24"/>
          <w:szCs w:val="24"/>
          <w:lang w:val="en-US" w:eastAsia="ru-RU"/>
        </w:rPr>
      </w:pPr>
      <w:r w:rsidRPr="0064693C">
        <w:rPr>
          <w:sz w:val="24"/>
          <w:szCs w:val="24"/>
          <w:lang w:val="en-US" w:eastAsia="ru-RU"/>
        </w:rPr>
        <w:t>Inventories are valued at cost of purchase. Write-off of inventories in production was carried out at average cost</w:t>
      </w:r>
      <w:r w:rsidR="00B04811" w:rsidRPr="00E30681">
        <w:rPr>
          <w:sz w:val="24"/>
          <w:szCs w:val="24"/>
          <w:lang w:val="en-US" w:eastAsia="ru-RU"/>
        </w:rPr>
        <w:t>.</w:t>
      </w:r>
    </w:p>
    <w:p w:rsidR="00B04811" w:rsidRPr="00E30681" w:rsidRDefault="00B04811" w:rsidP="00DF723E">
      <w:pPr>
        <w:autoSpaceDE w:val="0"/>
        <w:autoSpaceDN w:val="0"/>
        <w:adjustRightInd w:val="0"/>
        <w:ind w:firstLine="709"/>
        <w:jc w:val="both"/>
        <w:outlineLvl w:val="1"/>
        <w:rPr>
          <w:sz w:val="24"/>
          <w:szCs w:val="24"/>
          <w:lang w:val="en-US" w:eastAsia="ru-RU"/>
        </w:rPr>
      </w:pPr>
    </w:p>
    <w:p w:rsidR="00E30681" w:rsidRPr="0064693C" w:rsidRDefault="00E30681" w:rsidP="00E30681">
      <w:pPr>
        <w:pStyle w:val="ab"/>
        <w:ind w:left="0" w:right="-2" w:firstLine="709"/>
        <w:jc w:val="both"/>
        <w:rPr>
          <w:sz w:val="24"/>
          <w:szCs w:val="24"/>
          <w:lang w:val="en-US" w:eastAsia="ru-RU"/>
        </w:rPr>
      </w:pPr>
      <w:proofErr w:type="gramStart"/>
      <w:r w:rsidRPr="0064693C">
        <w:rPr>
          <w:b/>
          <w:bCs/>
          <w:i/>
          <w:iCs/>
          <w:sz w:val="24"/>
          <w:szCs w:val="24"/>
          <w:lang w:val="en-US" w:eastAsia="ru-RU"/>
        </w:rPr>
        <w:t>Financial investments.</w:t>
      </w:r>
      <w:proofErr w:type="gramEnd"/>
      <w:r w:rsidRPr="0064693C">
        <w:rPr>
          <w:b/>
          <w:bCs/>
          <w:i/>
          <w:iCs/>
          <w:sz w:val="24"/>
          <w:szCs w:val="24"/>
          <w:lang w:val="en-US" w:eastAsia="ru-RU"/>
        </w:rPr>
        <w:t xml:space="preserve"> </w:t>
      </w:r>
      <w:r w:rsidRPr="0064693C">
        <w:rPr>
          <w:sz w:val="24"/>
          <w:szCs w:val="24"/>
          <w:lang w:val="en-US" w:eastAsia="ru-RU"/>
        </w:rPr>
        <w:t>Financial investment accounting is performed in accordance with RAS 19/02, approved by Order of the Ministry of Finance of Russia from 10.12.2002 # 126n (with amendments and modifications).</w:t>
      </w:r>
    </w:p>
    <w:p w:rsidR="0035649B" w:rsidRPr="00E30681" w:rsidRDefault="00E30681" w:rsidP="00E30681">
      <w:pPr>
        <w:ind w:firstLine="709"/>
        <w:jc w:val="both"/>
        <w:rPr>
          <w:sz w:val="24"/>
          <w:szCs w:val="24"/>
          <w:lang w:val="en-US" w:eastAsia="ru-RU"/>
        </w:rPr>
      </w:pPr>
      <w:r w:rsidRPr="0064693C">
        <w:rPr>
          <w:sz w:val="24"/>
          <w:szCs w:val="24"/>
          <w:lang w:val="en-US" w:eastAsia="ru-RU"/>
        </w:rPr>
        <w:t>As financial investments the Company recognizes assets which do not have material and physical form and are capable to provide economic benefits (income) in future in form of interest, dividends or increment of their value (in form of difference between selling price (redemption) and purchase value) as the result of their exchange, use at repayments of liabilities, increase of current market value</w:t>
      </w:r>
      <w:r w:rsidR="0035649B" w:rsidRPr="00E30681">
        <w:rPr>
          <w:sz w:val="24"/>
          <w:szCs w:val="24"/>
          <w:lang w:val="en-US" w:eastAsia="ru-RU"/>
        </w:rPr>
        <w:t>.</w:t>
      </w:r>
    </w:p>
    <w:p w:rsidR="00A77D2F" w:rsidRPr="0064693C" w:rsidRDefault="00A77D2F" w:rsidP="00A77D2F">
      <w:pPr>
        <w:ind w:firstLine="709"/>
        <w:jc w:val="both"/>
        <w:rPr>
          <w:sz w:val="24"/>
          <w:szCs w:val="24"/>
          <w:lang w:val="en-US" w:eastAsia="ru-RU"/>
        </w:rPr>
      </w:pPr>
      <w:r w:rsidRPr="0064693C">
        <w:rPr>
          <w:sz w:val="24"/>
          <w:szCs w:val="24"/>
          <w:lang w:val="en-US" w:eastAsia="ru-RU"/>
        </w:rPr>
        <w:t>Analytical accounting of financial investment is kept in frame of reference of long-term and short-term financial investments. The long-term financial investments are the investments made with a view to draw income on them during more than one year. Other financial investments are the short-term ones.</w:t>
      </w:r>
    </w:p>
    <w:p w:rsidR="00A77D2F" w:rsidRPr="0064693C" w:rsidRDefault="00A77D2F" w:rsidP="00A77D2F">
      <w:pPr>
        <w:ind w:firstLine="709"/>
        <w:jc w:val="both"/>
        <w:rPr>
          <w:sz w:val="24"/>
          <w:szCs w:val="24"/>
          <w:lang w:val="en-US" w:eastAsia="ru-RU"/>
        </w:rPr>
      </w:pPr>
      <w:r w:rsidRPr="0064693C">
        <w:rPr>
          <w:sz w:val="24"/>
          <w:szCs w:val="24"/>
          <w:lang w:val="en-US" w:eastAsia="ru-RU"/>
        </w:rPr>
        <w:t>In the financial statements the financial investments are subdivided into short-term and long-term depending on the circulation (repayment) period.</w:t>
      </w:r>
    </w:p>
    <w:p w:rsidR="00A77D2F" w:rsidRPr="0064693C" w:rsidRDefault="00A77D2F" w:rsidP="00A77D2F">
      <w:pPr>
        <w:ind w:firstLine="709"/>
        <w:jc w:val="both"/>
        <w:rPr>
          <w:sz w:val="24"/>
          <w:szCs w:val="24"/>
          <w:lang w:val="en-US" w:eastAsia="ru-RU"/>
        </w:rPr>
      </w:pPr>
      <w:r w:rsidRPr="0064693C">
        <w:rPr>
          <w:sz w:val="24"/>
          <w:szCs w:val="24"/>
          <w:lang w:val="en-US" w:eastAsia="ru-RU"/>
        </w:rPr>
        <w:t>The financial investments on which the current market value may be determined ordinarily are reflected in the statements for later the reporting year at the current market value by means of adjustment of their appraisal on the previous accounting date. The mentioned adjustment is carried out by the Company quarterly.</w:t>
      </w:r>
    </w:p>
    <w:p w:rsidR="00A77D2F" w:rsidRPr="0064693C" w:rsidRDefault="00A77D2F" w:rsidP="00A77D2F">
      <w:pPr>
        <w:ind w:firstLine="709"/>
        <w:jc w:val="both"/>
        <w:rPr>
          <w:sz w:val="24"/>
          <w:szCs w:val="24"/>
          <w:lang w:val="en-US" w:eastAsia="ru-RU"/>
        </w:rPr>
      </w:pPr>
      <w:r w:rsidRPr="0064693C">
        <w:rPr>
          <w:sz w:val="24"/>
          <w:szCs w:val="24"/>
          <w:lang w:val="en-US" w:eastAsia="ru-RU"/>
        </w:rPr>
        <w:t xml:space="preserve">Difference between the appraisal of financial investments at the current market value at the accounting date and the previous appraisal of financial investments is recognized by the Company to be the other income and expenditure. Therefore, increment of market value of investments is reflected according to the debit of account “Financial investments” and according to the credit-side “Other income and expenditure”, reduction - according to the debit of account “Other income and expenditure” and according to credit-side “Financial investments”. </w:t>
      </w:r>
    </w:p>
    <w:p w:rsidR="00A77D2F" w:rsidRPr="0064693C" w:rsidRDefault="00A77D2F" w:rsidP="00A77D2F">
      <w:pPr>
        <w:ind w:firstLine="709"/>
        <w:jc w:val="both"/>
        <w:rPr>
          <w:sz w:val="24"/>
          <w:szCs w:val="24"/>
          <w:lang w:val="en-US" w:eastAsia="ru-RU"/>
        </w:rPr>
      </w:pPr>
      <w:r w:rsidRPr="0064693C">
        <w:rPr>
          <w:sz w:val="24"/>
          <w:szCs w:val="24"/>
          <w:lang w:val="en-US" w:eastAsia="ru-RU"/>
        </w:rPr>
        <w:t>In case when at the accounting date the current market value is not determined regarding the object of the financial investments appraised before at the current market value such object of the financial investments is reflected in the statements at the value of its last appraisal.</w:t>
      </w:r>
    </w:p>
    <w:p w:rsidR="00A77D2F" w:rsidRPr="0064693C" w:rsidRDefault="00A77D2F" w:rsidP="00A77D2F">
      <w:pPr>
        <w:ind w:firstLine="709"/>
        <w:jc w:val="both"/>
        <w:rPr>
          <w:sz w:val="24"/>
          <w:szCs w:val="24"/>
          <w:lang w:val="en-US" w:eastAsia="ru-RU"/>
        </w:rPr>
      </w:pPr>
      <w:r w:rsidRPr="0064693C">
        <w:rPr>
          <w:sz w:val="24"/>
          <w:szCs w:val="24"/>
          <w:lang w:val="en-US" w:eastAsia="ru-RU"/>
        </w:rPr>
        <w:t>The financial investments basing on which the current market value is not determined are reflected in the accounting at the initial value.</w:t>
      </w:r>
    </w:p>
    <w:p w:rsidR="00A77D2F" w:rsidRPr="0064693C" w:rsidRDefault="00A77D2F" w:rsidP="00A77D2F">
      <w:pPr>
        <w:ind w:firstLine="709"/>
        <w:jc w:val="both"/>
        <w:rPr>
          <w:sz w:val="24"/>
          <w:szCs w:val="24"/>
          <w:lang w:val="en-US" w:eastAsia="ru-RU"/>
        </w:rPr>
      </w:pPr>
      <w:r w:rsidRPr="0064693C">
        <w:rPr>
          <w:sz w:val="24"/>
          <w:szCs w:val="24"/>
          <w:lang w:val="en-US" w:eastAsia="ru-RU"/>
        </w:rPr>
        <w:t xml:space="preserve">At the retirement of assets included for the accounting as financial investments basing on which the current market value is determined their value is determined by the Company on the basis of the last appraisal.  </w:t>
      </w:r>
    </w:p>
    <w:p w:rsidR="00A77D2F" w:rsidRPr="0064693C" w:rsidRDefault="00A77D2F" w:rsidP="00A77D2F">
      <w:pPr>
        <w:ind w:firstLine="709"/>
        <w:jc w:val="both"/>
        <w:rPr>
          <w:sz w:val="24"/>
          <w:szCs w:val="24"/>
          <w:lang w:val="en-US" w:eastAsia="ru-RU"/>
        </w:rPr>
      </w:pPr>
      <w:r w:rsidRPr="0064693C">
        <w:rPr>
          <w:sz w:val="24"/>
          <w:szCs w:val="24"/>
          <w:lang w:val="en-US" w:eastAsia="ru-RU"/>
        </w:rPr>
        <w:t xml:space="preserve">Securities (shares and bonds) are evaluated at the retirement at the average historical cost which is determined for each type of securities. </w:t>
      </w:r>
    </w:p>
    <w:p w:rsidR="0035649B" w:rsidRPr="00A77D2F" w:rsidRDefault="00A77D2F" w:rsidP="00A77D2F">
      <w:pPr>
        <w:ind w:firstLine="709"/>
        <w:jc w:val="both"/>
        <w:rPr>
          <w:sz w:val="24"/>
          <w:szCs w:val="24"/>
          <w:lang w:val="en-US" w:eastAsia="ru-RU"/>
        </w:rPr>
      </w:pPr>
      <w:r w:rsidRPr="0064693C">
        <w:rPr>
          <w:sz w:val="24"/>
          <w:szCs w:val="24"/>
          <w:lang w:val="en-US" w:eastAsia="ru-RU"/>
        </w:rPr>
        <w:t>Income on the financial investments is recognized by the Company to be the other income</w:t>
      </w:r>
      <w:r w:rsidR="0035649B" w:rsidRPr="00A77D2F">
        <w:rPr>
          <w:sz w:val="24"/>
          <w:szCs w:val="24"/>
          <w:lang w:val="en-US" w:eastAsia="ru-RU"/>
        </w:rPr>
        <w:t>.</w:t>
      </w:r>
    </w:p>
    <w:p w:rsidR="0035649B" w:rsidRPr="00A77D2F" w:rsidRDefault="0035649B" w:rsidP="007B039D">
      <w:pPr>
        <w:ind w:firstLine="709"/>
        <w:jc w:val="both"/>
        <w:rPr>
          <w:sz w:val="24"/>
          <w:szCs w:val="24"/>
          <w:lang w:val="en-US" w:eastAsia="ru-RU"/>
        </w:rPr>
      </w:pPr>
    </w:p>
    <w:p w:rsidR="002A3F66" w:rsidRPr="0064693C" w:rsidRDefault="002A3F66" w:rsidP="002A3F66">
      <w:pPr>
        <w:pStyle w:val="a0"/>
        <w:ind w:firstLine="709"/>
        <w:rPr>
          <w:szCs w:val="24"/>
          <w:lang w:val="en-US" w:eastAsia="ru-RU"/>
        </w:rPr>
      </w:pPr>
      <w:proofErr w:type="gramStart"/>
      <w:r w:rsidRPr="0064693C">
        <w:rPr>
          <w:b/>
          <w:bCs/>
          <w:i/>
          <w:iCs/>
          <w:szCs w:val="24"/>
          <w:lang w:val="en-US" w:eastAsia="ru-RU"/>
        </w:rPr>
        <w:lastRenderedPageBreak/>
        <w:t>Revenues.</w:t>
      </w:r>
      <w:proofErr w:type="gramEnd"/>
      <w:r w:rsidRPr="0064693C">
        <w:rPr>
          <w:szCs w:val="24"/>
          <w:lang w:val="en-US" w:eastAsia="ru-RU"/>
        </w:rPr>
        <w:t xml:space="preserve"> The Company divides the revenues into revenues from ordinary activities and other revenues.</w:t>
      </w:r>
    </w:p>
    <w:p w:rsidR="002A3F66" w:rsidRPr="0064693C" w:rsidRDefault="002A3F66" w:rsidP="002A3F66">
      <w:pPr>
        <w:pStyle w:val="a0"/>
        <w:ind w:firstLine="709"/>
        <w:rPr>
          <w:szCs w:val="24"/>
          <w:lang w:val="en-US" w:eastAsia="ru-RU"/>
        </w:rPr>
      </w:pPr>
      <w:r w:rsidRPr="0064693C">
        <w:rPr>
          <w:szCs w:val="24"/>
          <w:lang w:val="en-US" w:eastAsia="ru-RU"/>
        </w:rPr>
        <w:t>Revenues from ordinary activities are the receipts connected with rendering of services, accomplishment of works, from sale of goods and products to third party companies.</w:t>
      </w:r>
    </w:p>
    <w:p w:rsidR="00226A22" w:rsidRPr="002A3F66" w:rsidRDefault="002A3F66" w:rsidP="002A3F66">
      <w:pPr>
        <w:pStyle w:val="a0"/>
        <w:ind w:firstLine="709"/>
        <w:rPr>
          <w:szCs w:val="24"/>
          <w:lang w:val="en-US" w:eastAsia="ru-RU"/>
        </w:rPr>
      </w:pPr>
      <w:r w:rsidRPr="0064693C">
        <w:rPr>
          <w:szCs w:val="24"/>
          <w:lang w:val="en-US" w:eastAsia="ru-RU"/>
        </w:rPr>
        <w:t xml:space="preserve">All income, which is not connected with </w:t>
      </w:r>
      <w:proofErr w:type="spellStart"/>
      <w:r w:rsidRPr="0064693C">
        <w:rPr>
          <w:szCs w:val="24"/>
          <w:lang w:val="en-US" w:eastAsia="ru-RU"/>
        </w:rPr>
        <w:t>realisation</w:t>
      </w:r>
      <w:proofErr w:type="spellEnd"/>
      <w:r w:rsidRPr="0064693C">
        <w:rPr>
          <w:szCs w:val="24"/>
          <w:lang w:val="en-US" w:eastAsia="ru-RU"/>
        </w:rPr>
        <w:t xml:space="preserve"> of works and services in ordinary activities, is recognized as other income. The revenue is recognized for the business accounting in the sum estimated in money terms, equal size of receipt of money funds and other property and (or) accounts receivable size</w:t>
      </w:r>
      <w:r w:rsidR="00226A22" w:rsidRPr="002A3F66">
        <w:rPr>
          <w:szCs w:val="24"/>
          <w:lang w:val="en-US" w:eastAsia="ru-RU"/>
        </w:rPr>
        <w:t>.</w:t>
      </w:r>
    </w:p>
    <w:p w:rsidR="007B039D" w:rsidRPr="002A3F66" w:rsidRDefault="007B039D" w:rsidP="00DF723E">
      <w:pPr>
        <w:pStyle w:val="a0"/>
        <w:ind w:firstLine="709"/>
        <w:rPr>
          <w:szCs w:val="24"/>
          <w:lang w:val="en-US" w:eastAsia="ru-RU"/>
        </w:rPr>
      </w:pPr>
    </w:p>
    <w:p w:rsidR="000D5B29" w:rsidRPr="0064693C" w:rsidRDefault="000D5B29" w:rsidP="000D5B29">
      <w:pPr>
        <w:pStyle w:val="a0"/>
        <w:ind w:firstLine="709"/>
        <w:rPr>
          <w:szCs w:val="24"/>
          <w:lang w:val="en-US" w:eastAsia="ru-RU"/>
        </w:rPr>
      </w:pPr>
      <w:proofErr w:type="gramStart"/>
      <w:r w:rsidRPr="0064693C">
        <w:rPr>
          <w:b/>
          <w:bCs/>
          <w:i/>
          <w:iCs/>
          <w:szCs w:val="24"/>
          <w:lang w:val="en-US" w:eastAsia="ru-RU"/>
        </w:rPr>
        <w:t>Commercial and administrative expenses.</w:t>
      </w:r>
      <w:proofErr w:type="gramEnd"/>
      <w:r w:rsidRPr="0064693C">
        <w:rPr>
          <w:szCs w:val="24"/>
          <w:lang w:val="en-US" w:eastAsia="ru-RU"/>
        </w:rPr>
        <w:t xml:space="preserve"> General economic expenses are recognized in full amount as administrative expenses.</w:t>
      </w:r>
    </w:p>
    <w:p w:rsidR="00B127E6" w:rsidRPr="000D5B29" w:rsidRDefault="000D5B29" w:rsidP="000D5B29">
      <w:pPr>
        <w:autoSpaceDE w:val="0"/>
        <w:autoSpaceDN w:val="0"/>
        <w:adjustRightInd w:val="0"/>
        <w:ind w:firstLine="540"/>
        <w:jc w:val="both"/>
        <w:rPr>
          <w:sz w:val="24"/>
          <w:szCs w:val="24"/>
          <w:lang w:val="en-US" w:eastAsia="ru-RU"/>
        </w:rPr>
      </w:pPr>
      <w:r w:rsidRPr="0064693C">
        <w:rPr>
          <w:sz w:val="24"/>
          <w:szCs w:val="24"/>
          <w:lang w:val="en-US" w:eastAsia="ru-RU"/>
        </w:rPr>
        <w:t>Expenses recorded in account 44 «Selling expenses», on a monthly basis are debited to account 90 «Sales» in the full amount. These expenses are recognized in the profit and loss statement in line «</w:t>
      </w:r>
      <w:r w:rsidRPr="0064693C">
        <w:rPr>
          <w:sz w:val="24"/>
          <w:szCs w:val="24"/>
        </w:rPr>
        <w:t>B</w:t>
      </w:r>
      <w:proofErr w:type="spellStart"/>
      <w:r w:rsidRPr="0064693C">
        <w:rPr>
          <w:sz w:val="24"/>
          <w:szCs w:val="24"/>
          <w:lang w:val="en-US" w:eastAsia="ru-RU"/>
        </w:rPr>
        <w:t>usiness</w:t>
      </w:r>
      <w:proofErr w:type="spellEnd"/>
      <w:r w:rsidRPr="0064693C">
        <w:rPr>
          <w:sz w:val="24"/>
          <w:szCs w:val="24"/>
          <w:lang w:val="en-US" w:eastAsia="ru-RU"/>
        </w:rPr>
        <w:t xml:space="preserve"> expenses</w:t>
      </w:r>
      <w:r w:rsidR="005D4598" w:rsidRPr="000D5B29">
        <w:rPr>
          <w:sz w:val="24"/>
          <w:szCs w:val="24"/>
          <w:lang w:val="en-US" w:eastAsia="ru-RU"/>
        </w:rPr>
        <w:t>»</w:t>
      </w:r>
      <w:r w:rsidR="000F454F" w:rsidRPr="000D5B29">
        <w:rPr>
          <w:sz w:val="24"/>
          <w:szCs w:val="24"/>
          <w:lang w:val="en-US" w:eastAsia="ru-RU"/>
        </w:rPr>
        <w:t>.</w:t>
      </w:r>
    </w:p>
    <w:p w:rsidR="00F2642D" w:rsidRPr="000D5B29" w:rsidRDefault="00F2642D" w:rsidP="00B127E6">
      <w:pPr>
        <w:autoSpaceDE w:val="0"/>
        <w:autoSpaceDN w:val="0"/>
        <w:adjustRightInd w:val="0"/>
        <w:ind w:firstLine="540"/>
        <w:jc w:val="both"/>
        <w:rPr>
          <w:sz w:val="24"/>
          <w:szCs w:val="24"/>
          <w:lang w:val="en-US" w:eastAsia="ru-RU"/>
        </w:rPr>
      </w:pPr>
    </w:p>
    <w:p w:rsidR="00C615E9" w:rsidRPr="000D5B29" w:rsidRDefault="000D5B29" w:rsidP="00CB2743">
      <w:pPr>
        <w:ind w:right="-2" w:firstLine="720"/>
        <w:jc w:val="both"/>
        <w:rPr>
          <w:sz w:val="24"/>
          <w:szCs w:val="24"/>
          <w:lang w:val="en-US" w:eastAsia="ru-RU"/>
        </w:rPr>
      </w:pPr>
      <w:proofErr w:type="gramStart"/>
      <w:r w:rsidRPr="0064693C">
        <w:rPr>
          <w:b/>
          <w:bCs/>
          <w:i/>
          <w:iCs/>
          <w:sz w:val="24"/>
          <w:szCs w:val="24"/>
          <w:lang w:val="en-US" w:eastAsia="ru-RU"/>
        </w:rPr>
        <w:t>Cash Flow Statement.</w:t>
      </w:r>
      <w:proofErr w:type="gramEnd"/>
      <w:r w:rsidRPr="0064693C">
        <w:rPr>
          <w:sz w:val="24"/>
          <w:szCs w:val="24"/>
          <w:lang w:val="en-US" w:eastAsia="ru-RU"/>
        </w:rPr>
        <w:t xml:space="preserve"> </w:t>
      </w:r>
      <w:proofErr w:type="gramStart"/>
      <w:r w:rsidRPr="0064693C">
        <w:rPr>
          <w:b/>
          <w:bCs/>
          <w:i/>
          <w:iCs/>
          <w:sz w:val="24"/>
          <w:szCs w:val="24"/>
          <w:lang w:val="en-US" w:eastAsia="ru-RU"/>
        </w:rPr>
        <w:t>Cash equivalents and presentation of cash flows in the cash flow statement.</w:t>
      </w:r>
      <w:proofErr w:type="gramEnd"/>
      <w:r w:rsidRPr="0064693C">
        <w:rPr>
          <w:b/>
          <w:bCs/>
          <w:i/>
          <w:iCs/>
          <w:sz w:val="24"/>
          <w:szCs w:val="24"/>
          <w:lang w:val="en-US" w:eastAsia="ru-RU"/>
        </w:rPr>
        <w:t xml:space="preserve"> </w:t>
      </w:r>
      <w:r w:rsidRPr="0064693C">
        <w:rPr>
          <w:sz w:val="24"/>
          <w:szCs w:val="24"/>
          <w:lang w:val="en-US" w:eastAsia="ru-RU"/>
        </w:rPr>
        <w:t>In accordance with RAS 23/2011, approved by Order of the Ministry of Finance of Russia from 02.02.2011 # 11n, the Company defines approaches for separating cash equivalents from other financial investments</w:t>
      </w:r>
      <w:r w:rsidR="00AD088A" w:rsidRPr="000D5B29">
        <w:rPr>
          <w:sz w:val="24"/>
          <w:szCs w:val="24"/>
          <w:lang w:val="en-US" w:eastAsia="ru-RU"/>
        </w:rPr>
        <w:t>.</w:t>
      </w:r>
    </w:p>
    <w:p w:rsidR="00AD088A" w:rsidRPr="000D5B29" w:rsidRDefault="00AD088A" w:rsidP="00AD088A">
      <w:pPr>
        <w:ind w:right="-2"/>
        <w:jc w:val="both"/>
        <w:rPr>
          <w:sz w:val="24"/>
          <w:szCs w:val="24"/>
          <w:lang w:val="en-US" w:eastAsia="ru-RU"/>
        </w:rPr>
      </w:pPr>
    </w:p>
    <w:p w:rsidR="00BA3122" w:rsidRPr="0064693C" w:rsidRDefault="00BA3122" w:rsidP="00BA3122">
      <w:pPr>
        <w:autoSpaceDE w:val="0"/>
        <w:autoSpaceDN w:val="0"/>
        <w:adjustRightInd w:val="0"/>
        <w:ind w:firstLine="540"/>
        <w:jc w:val="both"/>
        <w:rPr>
          <w:sz w:val="24"/>
          <w:szCs w:val="24"/>
          <w:lang w:val="en-US" w:eastAsia="ru-RU"/>
        </w:rPr>
      </w:pPr>
      <w:r w:rsidRPr="0064693C">
        <w:rPr>
          <w:sz w:val="24"/>
          <w:szCs w:val="24"/>
          <w:lang w:val="en-US" w:eastAsia="ru-RU"/>
        </w:rPr>
        <w:t>Cash equivalents are highly liquid investments that are readily convertible to known amounts of cash and which are subject to insignificant risk of changes in value. These include bills with maturities of three months or less, short-term government securities and bank deposits with a maturity of 3 months or less.</w:t>
      </w:r>
    </w:p>
    <w:p w:rsidR="00BA3122" w:rsidRPr="0064693C" w:rsidRDefault="00BA3122" w:rsidP="00BA3122">
      <w:pPr>
        <w:ind w:firstLine="709"/>
        <w:jc w:val="both"/>
        <w:rPr>
          <w:sz w:val="24"/>
          <w:szCs w:val="24"/>
          <w:lang w:val="en-US" w:eastAsia="ru-RU"/>
        </w:rPr>
      </w:pPr>
      <w:r w:rsidRPr="0064693C">
        <w:rPr>
          <w:sz w:val="24"/>
          <w:szCs w:val="24"/>
          <w:lang w:val="en-US" w:eastAsia="ru-RU"/>
        </w:rPr>
        <w:t>Data on cash and highly liquid investments that are readily convertible to known amounts of cash and which are subject to insignificant risk of changes in value (hereinafter - cash equivalents) are summarized in the statement of cash flows.</w:t>
      </w:r>
    </w:p>
    <w:p w:rsidR="00A15663" w:rsidRPr="00BA3122" w:rsidRDefault="00BA3122" w:rsidP="00BA3122">
      <w:pPr>
        <w:ind w:firstLine="709"/>
        <w:jc w:val="both"/>
        <w:rPr>
          <w:sz w:val="24"/>
          <w:szCs w:val="24"/>
          <w:lang w:val="en-US" w:eastAsia="ru-RU"/>
        </w:rPr>
      </w:pPr>
      <w:r w:rsidRPr="0064693C">
        <w:rPr>
          <w:sz w:val="24"/>
          <w:szCs w:val="24"/>
          <w:lang w:val="en-US" w:eastAsia="ru-RU"/>
        </w:rPr>
        <w:t>When generating a statement of cash flows under «Cash flows from operating activities» payments for wages of employees are recognized at cost, which includes, inter alia, subject to deduction from the amount of compensation of employees sums (for example, the amount of taxes on personal income, payments writs</w:t>
      </w:r>
      <w:r w:rsidR="00A15663" w:rsidRPr="00BA3122">
        <w:rPr>
          <w:sz w:val="24"/>
          <w:szCs w:val="24"/>
          <w:lang w:val="en-US" w:eastAsia="ru-RU"/>
        </w:rPr>
        <w:t>).</w:t>
      </w:r>
    </w:p>
    <w:p w:rsidR="00A15663" w:rsidRPr="00BA3122" w:rsidRDefault="00A15663" w:rsidP="00B127E6">
      <w:pPr>
        <w:autoSpaceDE w:val="0"/>
        <w:autoSpaceDN w:val="0"/>
        <w:adjustRightInd w:val="0"/>
        <w:ind w:firstLine="540"/>
        <w:jc w:val="both"/>
        <w:rPr>
          <w:sz w:val="24"/>
          <w:szCs w:val="24"/>
          <w:lang w:val="en-US" w:eastAsia="ru-RU"/>
        </w:rPr>
      </w:pPr>
    </w:p>
    <w:p w:rsidR="000771AD" w:rsidRPr="001761C3" w:rsidRDefault="001761C3" w:rsidP="00E177BA">
      <w:pPr>
        <w:autoSpaceDE w:val="0"/>
        <w:autoSpaceDN w:val="0"/>
        <w:adjustRightInd w:val="0"/>
        <w:ind w:firstLine="720"/>
        <w:jc w:val="both"/>
        <w:rPr>
          <w:sz w:val="24"/>
          <w:szCs w:val="24"/>
          <w:lang w:val="en-US" w:eastAsia="ru-RU"/>
        </w:rPr>
      </w:pPr>
      <w:proofErr w:type="gramStart"/>
      <w:r w:rsidRPr="0064693C">
        <w:rPr>
          <w:b/>
          <w:bCs/>
          <w:i/>
          <w:iCs/>
          <w:sz w:val="24"/>
          <w:szCs w:val="24"/>
          <w:lang w:val="en-US" w:eastAsia="ru-RU"/>
        </w:rPr>
        <w:t>Segment Reporting</w:t>
      </w:r>
      <w:r w:rsidRPr="0064693C">
        <w:rPr>
          <w:sz w:val="24"/>
          <w:szCs w:val="24"/>
          <w:lang w:val="en-US" w:eastAsia="ru-RU"/>
        </w:rPr>
        <w:t>.</w:t>
      </w:r>
      <w:proofErr w:type="gramEnd"/>
      <w:r w:rsidRPr="0064693C">
        <w:rPr>
          <w:sz w:val="24"/>
          <w:szCs w:val="24"/>
          <w:lang w:val="en-US" w:eastAsia="ru-RU"/>
        </w:rPr>
        <w:t xml:space="preserve"> In accordance with RAS 12/2010, approved by Order of the Ministry of Finance of Russia from 08.11.2010 # 143n (with amendments and modifications), the information of segments is included in the explanatory note to the accounting balance sheet and the profit and loss statement in table 5.13. </w:t>
      </w:r>
      <w:proofErr w:type="gramStart"/>
      <w:r w:rsidRPr="0064693C">
        <w:rPr>
          <w:sz w:val="24"/>
          <w:szCs w:val="24"/>
          <w:lang w:val="en-US" w:eastAsia="ru-RU"/>
        </w:rPr>
        <w:t>and</w:t>
      </w:r>
      <w:proofErr w:type="gramEnd"/>
      <w:r w:rsidRPr="0064693C">
        <w:rPr>
          <w:sz w:val="24"/>
          <w:szCs w:val="24"/>
          <w:lang w:val="en-US" w:eastAsia="ru-RU"/>
        </w:rPr>
        <w:t xml:space="preserve"> in Appendix #1</w:t>
      </w:r>
      <w:r w:rsidR="00266BCD" w:rsidRPr="001761C3">
        <w:rPr>
          <w:sz w:val="24"/>
          <w:szCs w:val="24"/>
          <w:lang w:val="en-US" w:eastAsia="ru-RU"/>
        </w:rPr>
        <w:t>.</w:t>
      </w:r>
    </w:p>
    <w:p w:rsidR="00EC52B7" w:rsidRPr="001761C3" w:rsidRDefault="00EC52B7">
      <w:pPr>
        <w:autoSpaceDE w:val="0"/>
        <w:autoSpaceDN w:val="0"/>
        <w:adjustRightInd w:val="0"/>
        <w:ind w:firstLine="720"/>
        <w:jc w:val="both"/>
        <w:rPr>
          <w:b/>
          <w:i/>
          <w:sz w:val="24"/>
          <w:szCs w:val="24"/>
          <w:lang w:val="en-US" w:eastAsia="ru-RU"/>
        </w:rPr>
      </w:pPr>
    </w:p>
    <w:p w:rsidR="000771AD" w:rsidRPr="001761C3" w:rsidRDefault="001761C3" w:rsidP="00E177BA">
      <w:pPr>
        <w:autoSpaceDE w:val="0"/>
        <w:autoSpaceDN w:val="0"/>
        <w:adjustRightInd w:val="0"/>
        <w:ind w:firstLine="720"/>
        <w:jc w:val="both"/>
        <w:rPr>
          <w:rFonts w:eastAsiaTheme="minorHAnsi"/>
          <w:sz w:val="24"/>
          <w:szCs w:val="24"/>
          <w:lang w:val="en-US"/>
        </w:rPr>
      </w:pPr>
      <w:proofErr w:type="gramStart"/>
      <w:r w:rsidRPr="0064693C">
        <w:rPr>
          <w:b/>
          <w:i/>
          <w:sz w:val="24"/>
          <w:szCs w:val="24"/>
          <w:lang w:val="en-US" w:eastAsia="ru-RU"/>
        </w:rPr>
        <w:t>Changes in accounting policy.</w:t>
      </w:r>
      <w:proofErr w:type="gramEnd"/>
      <w:r w:rsidRPr="0064693C">
        <w:rPr>
          <w:b/>
          <w:i/>
          <w:sz w:val="24"/>
          <w:szCs w:val="24"/>
          <w:lang w:val="en-US" w:eastAsia="ru-RU"/>
        </w:rPr>
        <w:t xml:space="preserve"> </w:t>
      </w:r>
      <w:r w:rsidRPr="0064693C">
        <w:rPr>
          <w:sz w:val="24"/>
          <w:szCs w:val="24"/>
          <w:lang w:val="en-US" w:eastAsia="ru-RU"/>
        </w:rPr>
        <w:t>No significant changes in accounting policy are intended in 201</w:t>
      </w:r>
      <w:r>
        <w:rPr>
          <w:sz w:val="24"/>
          <w:szCs w:val="24"/>
          <w:lang w:val="en-US" w:eastAsia="ru-RU"/>
        </w:rPr>
        <w:t>5</w:t>
      </w:r>
      <w:r w:rsidR="00E80E48" w:rsidRPr="001761C3">
        <w:rPr>
          <w:rFonts w:eastAsiaTheme="minorHAnsi"/>
          <w:sz w:val="24"/>
          <w:szCs w:val="24"/>
          <w:lang w:val="en-US"/>
        </w:rPr>
        <w:t>.</w:t>
      </w:r>
    </w:p>
    <w:p w:rsidR="00266BCD" w:rsidRPr="001761C3" w:rsidRDefault="00266BCD" w:rsidP="00266BCD">
      <w:pPr>
        <w:rPr>
          <w:sz w:val="24"/>
          <w:szCs w:val="24"/>
          <w:lang w:val="en-US" w:eastAsia="ru-RU"/>
        </w:rPr>
      </w:pPr>
    </w:p>
    <w:p w:rsidR="00D7687D" w:rsidRPr="001761C3" w:rsidRDefault="00D7687D" w:rsidP="00325C51">
      <w:pPr>
        <w:autoSpaceDE w:val="0"/>
        <w:autoSpaceDN w:val="0"/>
        <w:adjustRightInd w:val="0"/>
        <w:ind w:firstLine="360"/>
        <w:jc w:val="both"/>
        <w:rPr>
          <w:sz w:val="24"/>
          <w:szCs w:val="24"/>
          <w:lang w:val="en-US" w:eastAsia="ru-RU"/>
        </w:rPr>
      </w:pPr>
    </w:p>
    <w:p w:rsidR="00BB78B3" w:rsidRPr="00C339C1" w:rsidRDefault="001761C3" w:rsidP="00E37AB5">
      <w:pPr>
        <w:pStyle w:val="2"/>
        <w:numPr>
          <w:ilvl w:val="0"/>
          <w:numId w:val="5"/>
        </w:numPr>
        <w:jc w:val="left"/>
        <w:rPr>
          <w:szCs w:val="24"/>
        </w:rPr>
      </w:pPr>
      <w:proofErr w:type="spellStart"/>
      <w:r w:rsidRPr="0064693C">
        <w:rPr>
          <w:rFonts w:ascii="13" w:hAnsi="13"/>
          <w:bCs/>
          <w:szCs w:val="24"/>
        </w:rPr>
        <w:t>Disclosure</w:t>
      </w:r>
      <w:proofErr w:type="spellEnd"/>
      <w:r w:rsidRPr="0064693C">
        <w:rPr>
          <w:rFonts w:ascii="13" w:hAnsi="13"/>
          <w:bCs/>
          <w:szCs w:val="24"/>
        </w:rPr>
        <w:t xml:space="preserve"> </w:t>
      </w:r>
      <w:proofErr w:type="spellStart"/>
      <w:r w:rsidRPr="0064693C">
        <w:rPr>
          <w:rFonts w:ascii="13" w:hAnsi="13"/>
          <w:bCs/>
          <w:szCs w:val="24"/>
        </w:rPr>
        <w:t>of</w:t>
      </w:r>
      <w:proofErr w:type="spellEnd"/>
      <w:r w:rsidRPr="0064693C">
        <w:rPr>
          <w:rFonts w:ascii="13" w:hAnsi="13"/>
          <w:bCs/>
          <w:szCs w:val="24"/>
        </w:rPr>
        <w:t xml:space="preserve"> </w:t>
      </w:r>
      <w:proofErr w:type="spellStart"/>
      <w:r w:rsidRPr="0064693C">
        <w:rPr>
          <w:rFonts w:ascii="13" w:hAnsi="13"/>
          <w:bCs/>
          <w:szCs w:val="24"/>
        </w:rPr>
        <w:t>essential</w:t>
      </w:r>
      <w:proofErr w:type="spellEnd"/>
      <w:r w:rsidRPr="0064693C">
        <w:rPr>
          <w:rFonts w:ascii="13" w:hAnsi="13"/>
          <w:bCs/>
          <w:szCs w:val="24"/>
        </w:rPr>
        <w:t xml:space="preserve"> </w:t>
      </w:r>
      <w:proofErr w:type="spellStart"/>
      <w:r w:rsidRPr="0064693C">
        <w:rPr>
          <w:rFonts w:ascii="13" w:hAnsi="13"/>
          <w:bCs/>
          <w:szCs w:val="24"/>
        </w:rPr>
        <w:t>indicators</w:t>
      </w:r>
      <w:proofErr w:type="spellEnd"/>
    </w:p>
    <w:p w:rsidR="00BB78B3" w:rsidRDefault="00BB78B3" w:rsidP="00BB78B3">
      <w:pPr>
        <w:rPr>
          <w:lang w:val="ru-RU"/>
        </w:rPr>
      </w:pPr>
    </w:p>
    <w:p w:rsidR="008041DF" w:rsidRPr="00836721" w:rsidRDefault="008041DF" w:rsidP="00BB78B3">
      <w:pPr>
        <w:rPr>
          <w:lang w:val="ru-RU"/>
        </w:rPr>
      </w:pPr>
    </w:p>
    <w:p w:rsidR="00C615E9" w:rsidRPr="001761C3" w:rsidRDefault="00BB78B3" w:rsidP="00E37AB5">
      <w:pPr>
        <w:pStyle w:val="8"/>
        <w:numPr>
          <w:ilvl w:val="1"/>
          <w:numId w:val="7"/>
        </w:numPr>
        <w:rPr>
          <w:lang w:val="en-US"/>
        </w:rPr>
      </w:pPr>
      <w:r w:rsidRPr="001761C3">
        <w:rPr>
          <w:lang w:val="en-US"/>
        </w:rPr>
        <w:t xml:space="preserve"> </w:t>
      </w:r>
      <w:bookmarkStart w:id="2" w:name="_Toc381199327"/>
      <w:r w:rsidR="00430772" w:rsidRPr="001761C3">
        <w:rPr>
          <w:lang w:val="en-US"/>
        </w:rPr>
        <w:t xml:space="preserve">         </w:t>
      </w:r>
      <w:bookmarkEnd w:id="2"/>
      <w:r w:rsidR="001761C3" w:rsidRPr="0064693C">
        <w:rPr>
          <w:lang w:val="en-US"/>
        </w:rPr>
        <w:t>Information on transactions in foreign currency</w:t>
      </w:r>
    </w:p>
    <w:p w:rsidR="00FF147D" w:rsidRPr="001761C3" w:rsidRDefault="00FF147D" w:rsidP="00DF723E">
      <w:pPr>
        <w:tabs>
          <w:tab w:val="left" w:pos="567"/>
        </w:tabs>
        <w:ind w:firstLine="709"/>
        <w:jc w:val="both"/>
        <w:rPr>
          <w:rFonts w:ascii="13" w:hAnsi="13"/>
          <w:sz w:val="24"/>
          <w:szCs w:val="24"/>
          <w:lang w:val="en-US"/>
        </w:rPr>
      </w:pPr>
    </w:p>
    <w:p w:rsidR="00FF147D" w:rsidRPr="001761C3" w:rsidRDefault="001761C3" w:rsidP="00DF723E">
      <w:pPr>
        <w:ind w:firstLine="709"/>
        <w:jc w:val="both"/>
        <w:rPr>
          <w:sz w:val="24"/>
          <w:szCs w:val="24"/>
          <w:lang w:val="en-US" w:eastAsia="ru-RU"/>
        </w:rPr>
      </w:pPr>
      <w:r w:rsidRPr="0064693C">
        <w:rPr>
          <w:sz w:val="24"/>
          <w:szCs w:val="24"/>
          <w:lang w:val="en-US" w:eastAsia="ru-RU"/>
        </w:rPr>
        <w:t>In the accounting period transactions in foreign currency were not performed</w:t>
      </w:r>
      <w:r w:rsidR="00FF147D" w:rsidRPr="001761C3">
        <w:rPr>
          <w:sz w:val="24"/>
          <w:szCs w:val="24"/>
          <w:lang w:val="en-US" w:eastAsia="ru-RU"/>
        </w:rPr>
        <w:t>.</w:t>
      </w:r>
    </w:p>
    <w:p w:rsidR="00FF147D" w:rsidRPr="001761C3" w:rsidRDefault="00FF147D" w:rsidP="00DF723E">
      <w:pPr>
        <w:ind w:firstLine="709"/>
        <w:jc w:val="both"/>
        <w:rPr>
          <w:rFonts w:ascii="13" w:hAnsi="13"/>
          <w:sz w:val="24"/>
          <w:szCs w:val="24"/>
          <w:lang w:val="en-US"/>
        </w:rPr>
      </w:pPr>
    </w:p>
    <w:p w:rsidR="008041DF" w:rsidRPr="001761C3" w:rsidRDefault="008041DF" w:rsidP="00DF723E">
      <w:pPr>
        <w:ind w:firstLine="709"/>
        <w:jc w:val="both"/>
        <w:rPr>
          <w:rFonts w:ascii="13" w:hAnsi="13"/>
          <w:sz w:val="24"/>
          <w:szCs w:val="24"/>
          <w:lang w:val="en-US"/>
        </w:rPr>
      </w:pPr>
    </w:p>
    <w:p w:rsidR="00C615E9" w:rsidRPr="00C339C1" w:rsidRDefault="00B34B0E" w:rsidP="00E37AB5">
      <w:pPr>
        <w:pStyle w:val="8"/>
        <w:numPr>
          <w:ilvl w:val="1"/>
          <w:numId w:val="7"/>
        </w:numPr>
      </w:pPr>
      <w:r w:rsidRPr="001761C3">
        <w:rPr>
          <w:lang w:val="en-US"/>
        </w:rPr>
        <w:t xml:space="preserve"> </w:t>
      </w:r>
      <w:bookmarkStart w:id="3" w:name="_Toc381199328"/>
      <w:r w:rsidR="00430772" w:rsidRPr="001761C3">
        <w:rPr>
          <w:lang w:val="en-US"/>
        </w:rPr>
        <w:t xml:space="preserve">        </w:t>
      </w:r>
      <w:bookmarkEnd w:id="3"/>
      <w:proofErr w:type="spellStart"/>
      <w:r w:rsidR="001761C3" w:rsidRPr="0064693C">
        <w:t>Information</w:t>
      </w:r>
      <w:proofErr w:type="spellEnd"/>
      <w:r w:rsidR="001761C3" w:rsidRPr="0064693C">
        <w:t xml:space="preserve"> </w:t>
      </w:r>
      <w:proofErr w:type="spellStart"/>
      <w:r w:rsidR="001761C3" w:rsidRPr="0064693C">
        <w:t>on</w:t>
      </w:r>
      <w:proofErr w:type="spellEnd"/>
      <w:r w:rsidR="001761C3" w:rsidRPr="0064693C">
        <w:t xml:space="preserve"> </w:t>
      </w:r>
      <w:proofErr w:type="spellStart"/>
      <w:r w:rsidR="001761C3" w:rsidRPr="0064693C">
        <w:t>inventories</w:t>
      </w:r>
      <w:proofErr w:type="spellEnd"/>
    </w:p>
    <w:p w:rsidR="00FF147D" w:rsidRPr="00C339C1" w:rsidRDefault="00FF147D" w:rsidP="00325C51">
      <w:pPr>
        <w:rPr>
          <w:b/>
          <w:bCs/>
          <w:i/>
          <w:iCs/>
          <w:sz w:val="24"/>
          <w:szCs w:val="24"/>
          <w:lang w:val="ru-RU" w:eastAsia="ru-RU"/>
        </w:rPr>
      </w:pPr>
    </w:p>
    <w:p w:rsidR="001761C3" w:rsidRPr="0064693C" w:rsidRDefault="001761C3" w:rsidP="001761C3">
      <w:pPr>
        <w:ind w:firstLine="709"/>
        <w:jc w:val="both"/>
        <w:rPr>
          <w:sz w:val="24"/>
          <w:szCs w:val="24"/>
          <w:lang w:val="en-US" w:eastAsia="ru-RU"/>
        </w:rPr>
      </w:pPr>
      <w:r w:rsidRPr="0064693C">
        <w:rPr>
          <w:sz w:val="24"/>
          <w:szCs w:val="24"/>
          <w:lang w:val="en-US" w:eastAsia="ru-RU"/>
        </w:rPr>
        <w:t>The information on inventories is included in the explanatory note to the accounting balance sheet and the profit and loss statement in table 5.5.1.</w:t>
      </w:r>
    </w:p>
    <w:p w:rsidR="001761C3" w:rsidRPr="0064693C" w:rsidRDefault="001761C3" w:rsidP="001761C3">
      <w:pPr>
        <w:ind w:firstLine="709"/>
        <w:jc w:val="both"/>
        <w:rPr>
          <w:sz w:val="24"/>
          <w:szCs w:val="24"/>
          <w:lang w:val="en-US" w:eastAsia="ru-RU"/>
        </w:rPr>
      </w:pPr>
    </w:p>
    <w:p w:rsidR="001761C3" w:rsidRPr="0064693C" w:rsidRDefault="001761C3" w:rsidP="001761C3">
      <w:pPr>
        <w:ind w:firstLine="709"/>
        <w:jc w:val="both"/>
        <w:rPr>
          <w:sz w:val="24"/>
          <w:szCs w:val="24"/>
          <w:lang w:val="en-US" w:eastAsia="ru-RU"/>
        </w:rPr>
      </w:pPr>
      <w:r w:rsidRPr="0064693C">
        <w:rPr>
          <w:sz w:val="24"/>
          <w:szCs w:val="24"/>
          <w:lang w:val="en-US" w:eastAsia="ru-RU"/>
        </w:rPr>
        <w:t>In 201</w:t>
      </w:r>
      <w:r>
        <w:rPr>
          <w:sz w:val="24"/>
          <w:szCs w:val="24"/>
          <w:lang w:val="en-US" w:eastAsia="ru-RU"/>
        </w:rPr>
        <w:t>4</w:t>
      </w:r>
      <w:r w:rsidRPr="0064693C">
        <w:rPr>
          <w:sz w:val="24"/>
          <w:szCs w:val="24"/>
          <w:lang w:val="en-US" w:eastAsia="ru-RU"/>
        </w:rPr>
        <w:t xml:space="preserve"> inventories were not pledged.</w:t>
      </w:r>
    </w:p>
    <w:p w:rsidR="001761C3" w:rsidRPr="0064693C" w:rsidRDefault="001761C3" w:rsidP="001761C3">
      <w:pPr>
        <w:ind w:firstLine="709"/>
        <w:jc w:val="both"/>
        <w:rPr>
          <w:sz w:val="24"/>
          <w:szCs w:val="24"/>
          <w:lang w:val="en-US" w:eastAsia="ru-RU"/>
        </w:rPr>
      </w:pPr>
    </w:p>
    <w:p w:rsidR="00AE18F6" w:rsidRPr="00C339C1" w:rsidRDefault="001761C3" w:rsidP="001761C3">
      <w:pPr>
        <w:ind w:firstLine="709"/>
        <w:jc w:val="both"/>
        <w:rPr>
          <w:sz w:val="24"/>
          <w:szCs w:val="24"/>
          <w:lang w:val="ru-RU" w:eastAsia="ru-RU"/>
        </w:rPr>
      </w:pPr>
      <w:proofErr w:type="gramStart"/>
      <w:r w:rsidRPr="0064693C">
        <w:rPr>
          <w:sz w:val="24"/>
          <w:szCs w:val="24"/>
          <w:lang w:val="en-US" w:eastAsia="ru-RU"/>
        </w:rPr>
        <w:t>As at December 31, 201</w:t>
      </w:r>
      <w:r>
        <w:rPr>
          <w:sz w:val="24"/>
          <w:szCs w:val="24"/>
          <w:lang w:val="en-US" w:eastAsia="ru-RU"/>
        </w:rPr>
        <w:t>4</w:t>
      </w:r>
      <w:r w:rsidRPr="0064693C">
        <w:rPr>
          <w:sz w:val="24"/>
          <w:szCs w:val="24"/>
          <w:lang w:val="en-US" w:eastAsia="ru-RU"/>
        </w:rPr>
        <w:t xml:space="preserve"> the reserve under decrease in value of tangible assets in the amount of </w:t>
      </w:r>
      <w:r w:rsidRPr="001761C3">
        <w:rPr>
          <w:sz w:val="24"/>
          <w:szCs w:val="24"/>
          <w:lang w:val="en-US" w:eastAsia="ru-RU"/>
        </w:rPr>
        <w:t>5</w:t>
      </w:r>
      <w:r>
        <w:rPr>
          <w:sz w:val="24"/>
          <w:szCs w:val="24"/>
          <w:lang w:val="en-US" w:eastAsia="ru-RU"/>
        </w:rPr>
        <w:t> </w:t>
      </w:r>
      <w:r w:rsidRPr="001761C3">
        <w:rPr>
          <w:sz w:val="24"/>
          <w:szCs w:val="24"/>
          <w:lang w:val="en-US" w:eastAsia="ru-RU"/>
        </w:rPr>
        <w:t>149</w:t>
      </w:r>
      <w:r>
        <w:rPr>
          <w:sz w:val="24"/>
          <w:szCs w:val="24"/>
          <w:lang w:val="en-US" w:eastAsia="ru-RU"/>
        </w:rPr>
        <w:t xml:space="preserve"> </w:t>
      </w:r>
      <w:proofErr w:type="spellStart"/>
      <w:r w:rsidRPr="0064693C">
        <w:rPr>
          <w:sz w:val="24"/>
          <w:szCs w:val="24"/>
          <w:lang w:val="en-US" w:eastAsia="ru-RU"/>
        </w:rPr>
        <w:t>thous</w:t>
      </w:r>
      <w:proofErr w:type="spellEnd"/>
      <w:r w:rsidRPr="0064693C">
        <w:rPr>
          <w:sz w:val="24"/>
          <w:szCs w:val="24"/>
          <w:lang w:val="en-US" w:eastAsia="ru-RU"/>
        </w:rPr>
        <w:t>.</w:t>
      </w:r>
      <w:proofErr w:type="gramEnd"/>
      <w:r w:rsidRPr="0064693C">
        <w:rPr>
          <w:sz w:val="24"/>
          <w:szCs w:val="24"/>
          <w:lang w:val="en-US" w:eastAsia="ru-RU"/>
        </w:rPr>
        <w:t xml:space="preserve"> </w:t>
      </w:r>
      <w:r w:rsidRPr="0064693C">
        <w:rPr>
          <w:sz w:val="24"/>
          <w:szCs w:val="24"/>
          <w:lang w:val="ru-RU" w:eastAsia="ru-RU"/>
        </w:rPr>
        <w:t xml:space="preserve">RUB </w:t>
      </w:r>
      <w:proofErr w:type="spellStart"/>
      <w:r w:rsidRPr="0064693C">
        <w:rPr>
          <w:sz w:val="24"/>
          <w:szCs w:val="24"/>
          <w:lang w:val="ru-RU" w:eastAsia="ru-RU"/>
        </w:rPr>
        <w:t>was</w:t>
      </w:r>
      <w:proofErr w:type="spellEnd"/>
      <w:r w:rsidRPr="0064693C">
        <w:rPr>
          <w:sz w:val="24"/>
          <w:szCs w:val="24"/>
          <w:lang w:val="ru-RU" w:eastAsia="ru-RU"/>
        </w:rPr>
        <w:t xml:space="preserve"> </w:t>
      </w:r>
      <w:proofErr w:type="spellStart"/>
      <w:r w:rsidRPr="0064693C">
        <w:rPr>
          <w:sz w:val="24"/>
          <w:szCs w:val="24"/>
          <w:lang w:val="ru-RU" w:eastAsia="ru-RU"/>
        </w:rPr>
        <w:t>created</w:t>
      </w:r>
      <w:proofErr w:type="spellEnd"/>
      <w:r w:rsidR="00AE18F6" w:rsidRPr="00C339C1">
        <w:rPr>
          <w:sz w:val="24"/>
          <w:szCs w:val="24"/>
          <w:lang w:val="ru-RU" w:eastAsia="ru-RU"/>
        </w:rPr>
        <w:t>.</w:t>
      </w:r>
    </w:p>
    <w:p w:rsidR="002A6FCD" w:rsidRDefault="002A6FCD" w:rsidP="00605C85">
      <w:pPr>
        <w:ind w:firstLine="709"/>
        <w:jc w:val="both"/>
        <w:rPr>
          <w:sz w:val="24"/>
          <w:szCs w:val="24"/>
          <w:lang w:val="ru-RU" w:eastAsia="ru-RU"/>
        </w:rPr>
      </w:pPr>
    </w:p>
    <w:p w:rsidR="008041DF" w:rsidRPr="00C339C1" w:rsidRDefault="008041DF" w:rsidP="00605C85">
      <w:pPr>
        <w:ind w:firstLine="709"/>
        <w:jc w:val="both"/>
        <w:rPr>
          <w:sz w:val="24"/>
          <w:szCs w:val="24"/>
          <w:lang w:val="ru-RU" w:eastAsia="ru-RU"/>
        </w:rPr>
      </w:pPr>
    </w:p>
    <w:p w:rsidR="002668DC" w:rsidRPr="00C339C1" w:rsidRDefault="00BB78B3" w:rsidP="00E37AB5">
      <w:pPr>
        <w:pStyle w:val="8"/>
        <w:numPr>
          <w:ilvl w:val="1"/>
          <w:numId w:val="7"/>
        </w:numPr>
      </w:pPr>
      <w:bookmarkStart w:id="4" w:name="_Toc381196249"/>
      <w:bookmarkStart w:id="5" w:name="_Toc381196475"/>
      <w:bookmarkStart w:id="6" w:name="_Toc381199116"/>
      <w:bookmarkStart w:id="7" w:name="_Toc381199329"/>
      <w:bookmarkEnd w:id="4"/>
      <w:bookmarkEnd w:id="5"/>
      <w:bookmarkEnd w:id="6"/>
      <w:bookmarkEnd w:id="7"/>
      <w:r w:rsidRPr="00C339C1">
        <w:t xml:space="preserve"> </w:t>
      </w:r>
      <w:bookmarkStart w:id="8" w:name="_Toc381199330"/>
      <w:r w:rsidR="00430772">
        <w:t xml:space="preserve">        </w:t>
      </w:r>
      <w:bookmarkEnd w:id="8"/>
      <w:proofErr w:type="spellStart"/>
      <w:r w:rsidR="00B22548" w:rsidRPr="0064693C">
        <w:t>Information</w:t>
      </w:r>
      <w:proofErr w:type="spellEnd"/>
      <w:r w:rsidR="00B22548" w:rsidRPr="0064693C">
        <w:t xml:space="preserve"> </w:t>
      </w:r>
      <w:proofErr w:type="spellStart"/>
      <w:r w:rsidR="00B22548" w:rsidRPr="0064693C">
        <w:t>on</w:t>
      </w:r>
      <w:proofErr w:type="spellEnd"/>
      <w:r w:rsidR="00B22548" w:rsidRPr="0064693C">
        <w:t xml:space="preserve"> </w:t>
      </w:r>
      <w:proofErr w:type="spellStart"/>
      <w:r w:rsidR="00B22548" w:rsidRPr="0064693C">
        <w:t>fixed</w:t>
      </w:r>
      <w:proofErr w:type="spellEnd"/>
      <w:r w:rsidR="00B22548" w:rsidRPr="0064693C">
        <w:t xml:space="preserve"> </w:t>
      </w:r>
      <w:proofErr w:type="spellStart"/>
      <w:r w:rsidR="00B22548" w:rsidRPr="0064693C">
        <w:t>assets</w:t>
      </w:r>
      <w:proofErr w:type="spellEnd"/>
    </w:p>
    <w:p w:rsidR="00941F6A" w:rsidRPr="00C339C1" w:rsidRDefault="00941F6A" w:rsidP="00941F6A">
      <w:pPr>
        <w:ind w:firstLine="709"/>
        <w:jc w:val="both"/>
        <w:rPr>
          <w:b/>
          <w:bCs/>
          <w:i/>
          <w:iCs/>
          <w:sz w:val="24"/>
          <w:szCs w:val="24"/>
          <w:lang w:val="ru-RU" w:eastAsia="ru-RU"/>
        </w:rPr>
      </w:pPr>
    </w:p>
    <w:p w:rsidR="00496329" w:rsidRPr="00B22548" w:rsidRDefault="00B22548" w:rsidP="00941F6A">
      <w:pPr>
        <w:ind w:firstLine="709"/>
        <w:jc w:val="both"/>
        <w:rPr>
          <w:sz w:val="24"/>
          <w:szCs w:val="24"/>
          <w:lang w:val="en-US" w:eastAsia="ru-RU"/>
        </w:rPr>
      </w:pPr>
      <w:r w:rsidRPr="0064693C">
        <w:rPr>
          <w:sz w:val="24"/>
          <w:szCs w:val="24"/>
          <w:lang w:val="en-US" w:eastAsia="ru-RU"/>
        </w:rPr>
        <w:t>Availability and flow of fixed assets for 201</w:t>
      </w:r>
      <w:r>
        <w:rPr>
          <w:sz w:val="24"/>
          <w:szCs w:val="24"/>
          <w:lang w:val="en-US" w:eastAsia="ru-RU"/>
        </w:rPr>
        <w:t>3</w:t>
      </w:r>
      <w:r w:rsidRPr="0064693C">
        <w:rPr>
          <w:sz w:val="24"/>
          <w:szCs w:val="24"/>
          <w:lang w:val="en-US" w:eastAsia="ru-RU"/>
        </w:rPr>
        <w:t>-201</w:t>
      </w:r>
      <w:r>
        <w:rPr>
          <w:sz w:val="24"/>
          <w:szCs w:val="24"/>
          <w:lang w:val="en-US" w:eastAsia="ru-RU"/>
        </w:rPr>
        <w:t>4</w:t>
      </w:r>
      <w:r w:rsidRPr="0064693C">
        <w:rPr>
          <w:sz w:val="24"/>
          <w:szCs w:val="24"/>
          <w:lang w:val="en-US" w:eastAsia="ru-RU"/>
        </w:rPr>
        <w:t xml:space="preserve"> are included in the explanatory note to the accounting balance sheet and the profit and loss statement in table </w:t>
      </w:r>
      <w:r w:rsidR="00496329" w:rsidRPr="00B22548">
        <w:rPr>
          <w:sz w:val="24"/>
          <w:szCs w:val="24"/>
          <w:lang w:val="en-US" w:eastAsia="ru-RU"/>
        </w:rPr>
        <w:t>5.3.1.</w:t>
      </w:r>
    </w:p>
    <w:p w:rsidR="00BB78B3" w:rsidRPr="00B22548" w:rsidRDefault="00BB78B3" w:rsidP="00941F6A">
      <w:pPr>
        <w:ind w:firstLine="709"/>
        <w:jc w:val="both"/>
        <w:rPr>
          <w:sz w:val="24"/>
          <w:szCs w:val="24"/>
          <w:lang w:val="en-US" w:eastAsia="ru-RU"/>
        </w:rPr>
      </w:pPr>
    </w:p>
    <w:p w:rsidR="007143BE" w:rsidRPr="0064693C" w:rsidRDefault="007143BE" w:rsidP="007143BE">
      <w:pPr>
        <w:ind w:firstLine="709"/>
        <w:jc w:val="both"/>
        <w:rPr>
          <w:sz w:val="24"/>
          <w:szCs w:val="24"/>
          <w:lang w:val="en-US" w:eastAsia="ru-RU"/>
        </w:rPr>
      </w:pPr>
      <w:r w:rsidRPr="0064693C">
        <w:rPr>
          <w:sz w:val="24"/>
          <w:szCs w:val="24"/>
          <w:lang w:val="en-US" w:eastAsia="ru-RU"/>
        </w:rPr>
        <w:t>In the statements the fixed assets are recorded at depreciated cost (original/replacement cost less accumulated depreciation).</w:t>
      </w:r>
    </w:p>
    <w:p w:rsidR="007268C9" w:rsidRPr="007143BE" w:rsidRDefault="007143BE" w:rsidP="007143BE">
      <w:pPr>
        <w:ind w:firstLine="709"/>
        <w:jc w:val="both"/>
        <w:rPr>
          <w:sz w:val="24"/>
          <w:szCs w:val="24"/>
          <w:lang w:val="en-US" w:eastAsia="ru-RU"/>
        </w:rPr>
      </w:pPr>
      <w:r w:rsidRPr="0064693C">
        <w:rPr>
          <w:sz w:val="24"/>
          <w:szCs w:val="24"/>
          <w:lang w:val="en-US" w:eastAsia="ru-RU"/>
        </w:rPr>
        <w:t xml:space="preserve">Changes of the value of fixed assets resulting from completion, retrofit, renovation and partial liquidation are included in 5.3.3 for </w:t>
      </w:r>
      <w:r w:rsidR="007C15EC" w:rsidRPr="007143BE">
        <w:rPr>
          <w:sz w:val="24"/>
          <w:szCs w:val="24"/>
          <w:lang w:val="en-US" w:eastAsia="ru-RU"/>
        </w:rPr>
        <w:t>201</w:t>
      </w:r>
      <w:r w:rsidR="00263748" w:rsidRPr="007143BE">
        <w:rPr>
          <w:sz w:val="24"/>
          <w:szCs w:val="24"/>
          <w:lang w:val="en-US" w:eastAsia="ru-RU"/>
        </w:rPr>
        <w:t>3</w:t>
      </w:r>
      <w:r w:rsidR="007C15EC" w:rsidRPr="007143BE">
        <w:rPr>
          <w:sz w:val="24"/>
          <w:szCs w:val="24"/>
          <w:lang w:val="en-US" w:eastAsia="ru-RU"/>
        </w:rPr>
        <w:t>-201</w:t>
      </w:r>
      <w:r w:rsidR="00263748" w:rsidRPr="007143BE">
        <w:rPr>
          <w:sz w:val="24"/>
          <w:szCs w:val="24"/>
          <w:lang w:val="en-US" w:eastAsia="ru-RU"/>
        </w:rPr>
        <w:t>4</w:t>
      </w:r>
      <w:r w:rsidR="007C15EC" w:rsidRPr="007143BE">
        <w:rPr>
          <w:sz w:val="24"/>
          <w:szCs w:val="24"/>
          <w:lang w:val="en-US" w:eastAsia="ru-RU"/>
        </w:rPr>
        <w:t>.</w:t>
      </w:r>
    </w:p>
    <w:p w:rsidR="00AD088A" w:rsidRPr="007143BE" w:rsidRDefault="00AD088A" w:rsidP="00941F6A">
      <w:pPr>
        <w:ind w:firstLine="709"/>
        <w:jc w:val="both"/>
        <w:rPr>
          <w:sz w:val="24"/>
          <w:szCs w:val="24"/>
          <w:lang w:val="en-US" w:eastAsia="ru-RU"/>
        </w:rPr>
      </w:pPr>
    </w:p>
    <w:p w:rsidR="007C15EC" w:rsidRPr="00B17E3B" w:rsidRDefault="00B17E3B" w:rsidP="00941F6A">
      <w:pPr>
        <w:ind w:firstLine="709"/>
        <w:jc w:val="both"/>
        <w:rPr>
          <w:sz w:val="24"/>
          <w:szCs w:val="24"/>
          <w:lang w:val="en-US" w:eastAsia="ru-RU"/>
        </w:rPr>
      </w:pPr>
      <w:r w:rsidRPr="0064693C">
        <w:rPr>
          <w:sz w:val="24"/>
          <w:szCs w:val="24"/>
          <w:lang w:val="en-US" w:eastAsia="ru-RU"/>
        </w:rPr>
        <w:t>On the off-balance account of the Company as of 31.12.201</w:t>
      </w:r>
      <w:r>
        <w:rPr>
          <w:sz w:val="24"/>
          <w:szCs w:val="24"/>
          <w:lang w:val="en-US" w:eastAsia="ru-RU"/>
        </w:rPr>
        <w:t>4</w:t>
      </w:r>
      <w:r w:rsidRPr="0064693C">
        <w:rPr>
          <w:sz w:val="24"/>
          <w:szCs w:val="24"/>
          <w:lang w:val="en-US" w:eastAsia="ru-RU"/>
        </w:rPr>
        <w:t xml:space="preserve"> the leased fixed assets are registered, which are included in the explanatory note to the accounting balance sheet and the profit and loss statement in table 5.3.4 and 5.12</w:t>
      </w:r>
      <w:r w:rsidR="007C15EC" w:rsidRPr="00B17E3B">
        <w:rPr>
          <w:sz w:val="24"/>
          <w:szCs w:val="24"/>
          <w:lang w:val="en-US" w:eastAsia="ru-RU"/>
        </w:rPr>
        <w:t>.</w:t>
      </w:r>
    </w:p>
    <w:p w:rsidR="007C15EC" w:rsidRPr="00B17E3B" w:rsidRDefault="007C15EC" w:rsidP="00941F6A">
      <w:pPr>
        <w:ind w:firstLine="709"/>
        <w:jc w:val="both"/>
        <w:rPr>
          <w:sz w:val="24"/>
          <w:szCs w:val="24"/>
          <w:lang w:val="en-US" w:eastAsia="ru-RU"/>
        </w:rPr>
      </w:pPr>
    </w:p>
    <w:p w:rsidR="0060518B" w:rsidRPr="0064693C" w:rsidRDefault="0060518B" w:rsidP="0060518B">
      <w:pPr>
        <w:ind w:firstLine="709"/>
        <w:jc w:val="both"/>
        <w:rPr>
          <w:sz w:val="24"/>
          <w:szCs w:val="24"/>
          <w:lang w:val="en-US" w:eastAsia="ru-RU"/>
        </w:rPr>
      </w:pPr>
      <w:r w:rsidRPr="0064693C">
        <w:rPr>
          <w:sz w:val="24"/>
          <w:szCs w:val="24"/>
          <w:lang w:val="en-US" w:eastAsia="ru-RU"/>
        </w:rPr>
        <w:t>In accordance with the Company's method of accounting fixed assets no revaluation of fixed assets is performed by the Company.</w:t>
      </w:r>
    </w:p>
    <w:p w:rsidR="0060518B" w:rsidRPr="0064693C" w:rsidRDefault="0060518B" w:rsidP="0060518B">
      <w:pPr>
        <w:ind w:firstLine="709"/>
        <w:jc w:val="both"/>
        <w:rPr>
          <w:sz w:val="24"/>
          <w:szCs w:val="24"/>
          <w:lang w:val="en-US" w:eastAsia="ru-RU"/>
        </w:rPr>
      </w:pPr>
    </w:p>
    <w:p w:rsidR="007F39D3" w:rsidRPr="0060518B" w:rsidRDefault="0060518B" w:rsidP="0060518B">
      <w:pPr>
        <w:ind w:firstLine="709"/>
        <w:jc w:val="both"/>
        <w:rPr>
          <w:sz w:val="24"/>
          <w:szCs w:val="24"/>
          <w:lang w:val="en-US" w:eastAsia="ru-RU"/>
        </w:rPr>
      </w:pPr>
      <w:r w:rsidRPr="0064693C">
        <w:rPr>
          <w:sz w:val="24"/>
          <w:szCs w:val="24"/>
          <w:lang w:val="en-US" w:eastAsia="ru-RU"/>
        </w:rPr>
        <w:t>The Company does not have income yielding investments into tangible assets</w:t>
      </w:r>
      <w:r w:rsidR="00D5630A" w:rsidRPr="0060518B">
        <w:rPr>
          <w:sz w:val="24"/>
          <w:szCs w:val="24"/>
          <w:lang w:val="en-US" w:eastAsia="ru-RU"/>
        </w:rPr>
        <w:t>.</w:t>
      </w:r>
    </w:p>
    <w:p w:rsidR="007F39D3" w:rsidRPr="0060518B" w:rsidRDefault="007F39D3" w:rsidP="001557B6">
      <w:pPr>
        <w:jc w:val="both"/>
        <w:rPr>
          <w:sz w:val="24"/>
          <w:szCs w:val="24"/>
          <w:lang w:val="en-US" w:eastAsia="ru-RU"/>
        </w:rPr>
      </w:pPr>
    </w:p>
    <w:p w:rsidR="008041DF" w:rsidRPr="0060518B" w:rsidRDefault="008041DF" w:rsidP="001557B6">
      <w:pPr>
        <w:jc w:val="both"/>
        <w:rPr>
          <w:sz w:val="24"/>
          <w:szCs w:val="24"/>
          <w:lang w:val="en-US" w:eastAsia="ru-RU"/>
        </w:rPr>
      </w:pPr>
    </w:p>
    <w:p w:rsidR="00BB78B3" w:rsidRPr="00C339C1" w:rsidRDefault="00325C51" w:rsidP="00E37AB5">
      <w:pPr>
        <w:pStyle w:val="8"/>
        <w:numPr>
          <w:ilvl w:val="1"/>
          <w:numId w:val="7"/>
        </w:numPr>
      </w:pPr>
      <w:r w:rsidRPr="0060518B">
        <w:rPr>
          <w:lang w:val="en-US"/>
        </w:rPr>
        <w:t xml:space="preserve"> </w:t>
      </w:r>
      <w:bookmarkStart w:id="9" w:name="_Toc381199331"/>
      <w:r w:rsidR="00430772" w:rsidRPr="0060518B">
        <w:rPr>
          <w:lang w:val="en-US"/>
        </w:rPr>
        <w:t xml:space="preserve">        </w:t>
      </w:r>
      <w:bookmarkEnd w:id="9"/>
      <w:r w:rsidR="0060518B" w:rsidRPr="0064693C">
        <w:rPr>
          <w:lang w:val="en-US"/>
        </w:rPr>
        <w:t>Information</w:t>
      </w:r>
      <w:r w:rsidR="0060518B" w:rsidRPr="0064693C">
        <w:t xml:space="preserve"> </w:t>
      </w:r>
      <w:r w:rsidR="0060518B" w:rsidRPr="0064693C">
        <w:rPr>
          <w:lang w:val="en-US"/>
        </w:rPr>
        <w:t>on</w:t>
      </w:r>
      <w:r w:rsidR="0060518B" w:rsidRPr="0064693C">
        <w:t xml:space="preserve"> </w:t>
      </w:r>
      <w:r w:rsidR="0060518B" w:rsidRPr="0064693C">
        <w:rPr>
          <w:lang w:val="en-US"/>
        </w:rPr>
        <w:t>intangible</w:t>
      </w:r>
      <w:r w:rsidR="0060518B" w:rsidRPr="0064693C">
        <w:t xml:space="preserve"> </w:t>
      </w:r>
      <w:r w:rsidR="0060518B" w:rsidRPr="0064693C">
        <w:rPr>
          <w:lang w:val="en-US"/>
        </w:rPr>
        <w:t>assets</w:t>
      </w:r>
      <w:r w:rsidR="00BB78B3" w:rsidRPr="00C339C1">
        <w:t xml:space="preserve"> </w:t>
      </w:r>
    </w:p>
    <w:p w:rsidR="00BB78B3" w:rsidRPr="00C339C1" w:rsidRDefault="00BB78B3" w:rsidP="00BB78B3">
      <w:pPr>
        <w:pStyle w:val="ab"/>
        <w:jc w:val="both"/>
        <w:rPr>
          <w:b/>
          <w:sz w:val="24"/>
          <w:szCs w:val="24"/>
          <w:lang w:val="ru-RU"/>
        </w:rPr>
      </w:pPr>
    </w:p>
    <w:p w:rsidR="00BB78B3" w:rsidRPr="00BC31F0" w:rsidRDefault="00BC31F0" w:rsidP="00BB78B3">
      <w:pPr>
        <w:ind w:firstLine="709"/>
        <w:jc w:val="both"/>
        <w:rPr>
          <w:sz w:val="24"/>
          <w:szCs w:val="24"/>
          <w:lang w:val="en-US" w:eastAsia="ru-RU"/>
        </w:rPr>
      </w:pPr>
      <w:r w:rsidRPr="0064693C">
        <w:rPr>
          <w:sz w:val="24"/>
          <w:szCs w:val="24"/>
          <w:lang w:val="en-US" w:eastAsia="ru-RU"/>
        </w:rPr>
        <w:t xml:space="preserve">Availability and flow of intangible assets for </w:t>
      </w:r>
      <w:r w:rsidRPr="00BC31F0">
        <w:rPr>
          <w:sz w:val="24"/>
          <w:szCs w:val="24"/>
          <w:lang w:val="en-US" w:eastAsia="ru-RU"/>
        </w:rPr>
        <w:t xml:space="preserve">2013-2014 </w:t>
      </w:r>
      <w:r w:rsidRPr="0064693C">
        <w:rPr>
          <w:sz w:val="24"/>
          <w:szCs w:val="24"/>
          <w:lang w:val="en-US" w:eastAsia="ru-RU"/>
        </w:rPr>
        <w:t>are included in the explanatory note to the accounting balance sheet and the profit and loss statement in table</w:t>
      </w:r>
      <w:r w:rsidRPr="00BC31F0">
        <w:rPr>
          <w:sz w:val="24"/>
          <w:szCs w:val="24"/>
          <w:lang w:val="en-US" w:eastAsia="ru-RU"/>
        </w:rPr>
        <w:t xml:space="preserve"> </w:t>
      </w:r>
      <w:r w:rsidR="00BB78B3" w:rsidRPr="00BC31F0">
        <w:rPr>
          <w:sz w:val="24"/>
          <w:szCs w:val="24"/>
          <w:lang w:val="en-US" w:eastAsia="ru-RU"/>
        </w:rPr>
        <w:t>5.1.1.</w:t>
      </w:r>
    </w:p>
    <w:p w:rsidR="00BB78B3" w:rsidRPr="00BC31F0" w:rsidRDefault="00BB78B3" w:rsidP="00605C85">
      <w:pPr>
        <w:ind w:firstLine="709"/>
        <w:jc w:val="both"/>
        <w:rPr>
          <w:sz w:val="24"/>
          <w:szCs w:val="24"/>
          <w:lang w:val="en-US" w:eastAsia="ru-RU"/>
        </w:rPr>
      </w:pPr>
    </w:p>
    <w:p w:rsidR="008041DF" w:rsidRPr="00BC31F0" w:rsidRDefault="008041DF" w:rsidP="00605C85">
      <w:pPr>
        <w:ind w:firstLine="709"/>
        <w:jc w:val="both"/>
        <w:rPr>
          <w:sz w:val="24"/>
          <w:szCs w:val="24"/>
          <w:lang w:val="en-US" w:eastAsia="ru-RU"/>
        </w:rPr>
      </w:pPr>
    </w:p>
    <w:p w:rsidR="00BB78B3" w:rsidRPr="00C339C1" w:rsidRDefault="00325C51" w:rsidP="00E37AB5">
      <w:pPr>
        <w:pStyle w:val="8"/>
        <w:numPr>
          <w:ilvl w:val="1"/>
          <w:numId w:val="7"/>
        </w:numPr>
      </w:pPr>
      <w:r w:rsidRPr="00BC31F0">
        <w:rPr>
          <w:lang w:val="en-US"/>
        </w:rPr>
        <w:t xml:space="preserve"> </w:t>
      </w:r>
      <w:bookmarkStart w:id="10" w:name="_Toc381199332"/>
      <w:r w:rsidR="00430772" w:rsidRPr="00BC31F0">
        <w:rPr>
          <w:lang w:val="en-US"/>
        </w:rPr>
        <w:t xml:space="preserve">        </w:t>
      </w:r>
      <w:bookmarkEnd w:id="10"/>
      <w:proofErr w:type="spellStart"/>
      <w:r w:rsidR="00465991" w:rsidRPr="0064693C">
        <w:t>Information</w:t>
      </w:r>
      <w:proofErr w:type="spellEnd"/>
      <w:r w:rsidR="00465991" w:rsidRPr="0064693C">
        <w:t xml:space="preserve"> </w:t>
      </w:r>
      <w:proofErr w:type="spellStart"/>
      <w:r w:rsidR="00465991" w:rsidRPr="0064693C">
        <w:t>on</w:t>
      </w:r>
      <w:proofErr w:type="spellEnd"/>
      <w:r w:rsidR="00465991" w:rsidRPr="0064693C">
        <w:t xml:space="preserve"> </w:t>
      </w:r>
      <w:proofErr w:type="spellStart"/>
      <w:r w:rsidR="00465991" w:rsidRPr="0064693C">
        <w:t>receivables</w:t>
      </w:r>
      <w:proofErr w:type="spellEnd"/>
      <w:r w:rsidR="00465991" w:rsidRPr="0064693C">
        <w:t xml:space="preserve"> </w:t>
      </w:r>
      <w:proofErr w:type="spellStart"/>
      <w:r w:rsidR="00465991" w:rsidRPr="0064693C">
        <w:t>and</w:t>
      </w:r>
      <w:proofErr w:type="spellEnd"/>
      <w:r w:rsidR="00465991" w:rsidRPr="0064693C">
        <w:t xml:space="preserve"> </w:t>
      </w:r>
      <w:proofErr w:type="spellStart"/>
      <w:r w:rsidR="00465991" w:rsidRPr="0064693C">
        <w:t>payables</w:t>
      </w:r>
      <w:proofErr w:type="spellEnd"/>
    </w:p>
    <w:p w:rsidR="00BB78B3" w:rsidRPr="00C339C1" w:rsidRDefault="00BB78B3" w:rsidP="00BB78B3">
      <w:pPr>
        <w:ind w:firstLine="709"/>
        <w:jc w:val="both"/>
        <w:rPr>
          <w:sz w:val="24"/>
          <w:szCs w:val="24"/>
          <w:lang w:val="ru-RU"/>
        </w:rPr>
      </w:pPr>
    </w:p>
    <w:p w:rsidR="00465991" w:rsidRPr="0064693C" w:rsidRDefault="00465991" w:rsidP="00465991">
      <w:pPr>
        <w:ind w:firstLine="709"/>
        <w:jc w:val="both"/>
        <w:rPr>
          <w:sz w:val="24"/>
          <w:szCs w:val="24"/>
          <w:lang w:val="en-US" w:eastAsia="ru-RU"/>
        </w:rPr>
      </w:pPr>
      <w:r w:rsidRPr="0064693C">
        <w:rPr>
          <w:sz w:val="24"/>
          <w:szCs w:val="24"/>
          <w:lang w:val="en-US" w:eastAsia="ru-RU"/>
        </w:rPr>
        <w:t>The structure of receivables is recorded in the explanatory note to the accounting balance sheet and the profit and loss statement in table 5.6.1.</w:t>
      </w:r>
    </w:p>
    <w:p w:rsidR="00465991" w:rsidRPr="0064693C" w:rsidRDefault="00465991" w:rsidP="00465991">
      <w:pPr>
        <w:ind w:firstLine="709"/>
        <w:jc w:val="both"/>
        <w:rPr>
          <w:sz w:val="24"/>
          <w:szCs w:val="24"/>
          <w:lang w:val="en-US" w:eastAsia="ru-RU"/>
        </w:rPr>
      </w:pPr>
    </w:p>
    <w:p w:rsidR="00BB78B3" w:rsidRPr="00465991" w:rsidRDefault="00465991" w:rsidP="00465991">
      <w:pPr>
        <w:ind w:firstLine="709"/>
        <w:jc w:val="both"/>
        <w:rPr>
          <w:sz w:val="24"/>
          <w:szCs w:val="24"/>
          <w:lang w:val="en-US" w:eastAsia="ru-RU"/>
        </w:rPr>
      </w:pPr>
      <w:r w:rsidRPr="0064693C">
        <w:rPr>
          <w:sz w:val="24"/>
          <w:szCs w:val="24"/>
          <w:lang w:val="en-US" w:eastAsia="ru-RU"/>
        </w:rPr>
        <w:t>The structure of payables is recorded in the explanatory note to the accounting balance sheet and the profit and loss statement in table</w:t>
      </w:r>
      <w:r>
        <w:rPr>
          <w:sz w:val="24"/>
          <w:szCs w:val="24"/>
          <w:lang w:val="en-US" w:eastAsia="ru-RU"/>
        </w:rPr>
        <w:t xml:space="preserve"> </w:t>
      </w:r>
      <w:r w:rsidR="00BB78B3" w:rsidRPr="00465991">
        <w:rPr>
          <w:sz w:val="24"/>
          <w:szCs w:val="24"/>
          <w:lang w:val="en-US" w:eastAsia="ru-RU"/>
        </w:rPr>
        <w:t>5.6.5</w:t>
      </w:r>
    </w:p>
    <w:p w:rsidR="00BB78B3" w:rsidRPr="00465991" w:rsidRDefault="00BB78B3" w:rsidP="00BB78B3">
      <w:pPr>
        <w:ind w:firstLine="709"/>
        <w:jc w:val="both"/>
        <w:rPr>
          <w:sz w:val="24"/>
          <w:szCs w:val="24"/>
          <w:lang w:val="en-US" w:eastAsia="ru-RU"/>
        </w:rPr>
      </w:pPr>
    </w:p>
    <w:p w:rsidR="00433264" w:rsidRPr="008F47BD" w:rsidRDefault="00B06853" w:rsidP="00433264">
      <w:pPr>
        <w:ind w:firstLine="709"/>
        <w:jc w:val="both"/>
        <w:rPr>
          <w:sz w:val="24"/>
          <w:szCs w:val="24"/>
          <w:lang w:val="en-US" w:eastAsia="ru-RU"/>
        </w:rPr>
      </w:pPr>
      <w:proofErr w:type="gramStart"/>
      <w:r>
        <w:rPr>
          <w:sz w:val="24"/>
          <w:szCs w:val="24"/>
          <w:lang w:val="en-US" w:eastAsia="ru-RU"/>
        </w:rPr>
        <w:t>As</w:t>
      </w:r>
      <w:r w:rsidRPr="00C4191D">
        <w:rPr>
          <w:sz w:val="24"/>
          <w:szCs w:val="24"/>
          <w:lang w:val="en-US" w:eastAsia="ru-RU"/>
        </w:rPr>
        <w:t xml:space="preserve"> </w:t>
      </w:r>
      <w:r>
        <w:rPr>
          <w:sz w:val="24"/>
          <w:szCs w:val="24"/>
          <w:lang w:val="en-US" w:eastAsia="ru-RU"/>
        </w:rPr>
        <w:t>of</w:t>
      </w:r>
      <w:r w:rsidR="00E052FA" w:rsidRPr="00C4191D">
        <w:rPr>
          <w:sz w:val="24"/>
          <w:szCs w:val="24"/>
          <w:lang w:val="en-US" w:eastAsia="ru-RU"/>
        </w:rPr>
        <w:t xml:space="preserve"> 31.12.2014</w:t>
      </w:r>
      <w:r w:rsidR="00EA15E7" w:rsidRPr="00C4191D">
        <w:rPr>
          <w:sz w:val="24"/>
          <w:szCs w:val="24"/>
          <w:lang w:val="en-US" w:eastAsia="ru-RU"/>
        </w:rPr>
        <w:t xml:space="preserve"> </w:t>
      </w:r>
      <w:r w:rsidR="00C4191D" w:rsidRPr="00471B24">
        <w:rPr>
          <w:sz w:val="24"/>
          <w:szCs w:val="24"/>
          <w:lang w:val="en-US" w:eastAsia="ru-RU"/>
        </w:rPr>
        <w:t xml:space="preserve">a provision for doubtful debts in the amount of </w:t>
      </w:r>
      <w:r w:rsidR="00E052FA" w:rsidRPr="00C4191D">
        <w:rPr>
          <w:sz w:val="24"/>
          <w:szCs w:val="24"/>
          <w:lang w:val="en-US" w:eastAsia="ru-RU"/>
        </w:rPr>
        <w:t xml:space="preserve">10 500 468 </w:t>
      </w:r>
      <w:proofErr w:type="spellStart"/>
      <w:r w:rsidR="008F47BD" w:rsidRPr="00C4191D">
        <w:rPr>
          <w:sz w:val="24"/>
          <w:szCs w:val="24"/>
          <w:lang w:val="en-US" w:eastAsia="ru-RU"/>
        </w:rPr>
        <w:t>thous</w:t>
      </w:r>
      <w:proofErr w:type="spellEnd"/>
      <w:r w:rsidR="008F47BD" w:rsidRPr="00C4191D">
        <w:rPr>
          <w:sz w:val="24"/>
          <w:szCs w:val="24"/>
          <w:lang w:val="en-US" w:eastAsia="ru-RU"/>
        </w:rPr>
        <w:t>.</w:t>
      </w:r>
      <w:proofErr w:type="gramEnd"/>
      <w:r w:rsidR="008F47BD" w:rsidRPr="00C4191D">
        <w:rPr>
          <w:sz w:val="24"/>
          <w:szCs w:val="24"/>
          <w:lang w:val="en-US" w:eastAsia="ru-RU"/>
        </w:rPr>
        <w:t xml:space="preserve"> RUB</w:t>
      </w:r>
      <w:r w:rsidR="00C4191D">
        <w:rPr>
          <w:sz w:val="24"/>
          <w:szCs w:val="24"/>
          <w:lang w:val="en-US" w:eastAsia="ru-RU"/>
        </w:rPr>
        <w:t xml:space="preserve"> was created.</w:t>
      </w:r>
      <w:r w:rsidR="00433264" w:rsidRPr="00C4191D">
        <w:rPr>
          <w:sz w:val="24"/>
          <w:szCs w:val="24"/>
          <w:lang w:val="en-US" w:eastAsia="ru-RU"/>
        </w:rPr>
        <w:t xml:space="preserve"> </w:t>
      </w:r>
      <w:proofErr w:type="gramStart"/>
      <w:r w:rsidR="00C4191D" w:rsidRPr="00471B24">
        <w:rPr>
          <w:sz w:val="24"/>
          <w:szCs w:val="24"/>
          <w:lang w:val="en-US" w:eastAsia="ru-RU"/>
        </w:rPr>
        <w:t xml:space="preserve">Of these </w:t>
      </w:r>
      <w:r w:rsidR="00C4191D">
        <w:rPr>
          <w:sz w:val="24"/>
          <w:szCs w:val="24"/>
          <w:lang w:val="en-US" w:eastAsia="ru-RU"/>
        </w:rPr>
        <w:t xml:space="preserve">the </w:t>
      </w:r>
      <w:r w:rsidR="00C4191D" w:rsidRPr="00471B24">
        <w:rPr>
          <w:sz w:val="24"/>
          <w:szCs w:val="24"/>
          <w:lang w:val="en-US" w:eastAsia="ru-RU"/>
        </w:rPr>
        <w:t>reserve in the amount of</w:t>
      </w:r>
      <w:r w:rsidR="00C4191D" w:rsidRPr="00C4191D">
        <w:rPr>
          <w:sz w:val="24"/>
          <w:szCs w:val="24"/>
          <w:lang w:val="en-US" w:eastAsia="ru-RU"/>
        </w:rPr>
        <w:t xml:space="preserve"> </w:t>
      </w:r>
      <w:r w:rsidR="00433264" w:rsidRPr="00C4191D">
        <w:rPr>
          <w:sz w:val="24"/>
          <w:szCs w:val="24"/>
          <w:lang w:val="en-US" w:eastAsia="ru-RU"/>
        </w:rPr>
        <w:t xml:space="preserve">7 324 861 </w:t>
      </w:r>
      <w:proofErr w:type="spellStart"/>
      <w:r w:rsidR="008F47BD" w:rsidRPr="00C4191D">
        <w:rPr>
          <w:sz w:val="24"/>
          <w:szCs w:val="24"/>
          <w:lang w:val="en-US" w:eastAsia="ru-RU"/>
        </w:rPr>
        <w:t>thous</w:t>
      </w:r>
      <w:proofErr w:type="spellEnd"/>
      <w:r w:rsidR="008F47BD" w:rsidRPr="00C4191D">
        <w:rPr>
          <w:sz w:val="24"/>
          <w:szCs w:val="24"/>
          <w:lang w:val="en-US" w:eastAsia="ru-RU"/>
        </w:rPr>
        <w:t>.</w:t>
      </w:r>
      <w:proofErr w:type="gramEnd"/>
      <w:r w:rsidR="008F47BD" w:rsidRPr="00C4191D">
        <w:rPr>
          <w:sz w:val="24"/>
          <w:szCs w:val="24"/>
          <w:lang w:val="en-US" w:eastAsia="ru-RU"/>
        </w:rPr>
        <w:t xml:space="preserve"> RUB</w:t>
      </w:r>
      <w:r w:rsidR="00433264" w:rsidRPr="00C4191D">
        <w:rPr>
          <w:sz w:val="24"/>
          <w:szCs w:val="24"/>
          <w:lang w:val="en-US" w:eastAsia="ru-RU"/>
        </w:rPr>
        <w:t xml:space="preserve"> </w:t>
      </w:r>
      <w:r w:rsidR="00C4191D">
        <w:rPr>
          <w:sz w:val="24"/>
          <w:szCs w:val="24"/>
          <w:lang w:val="en-US" w:eastAsia="ru-RU"/>
        </w:rPr>
        <w:t xml:space="preserve">was </w:t>
      </w:r>
      <w:r w:rsidR="00C4191D" w:rsidRPr="00471B24">
        <w:rPr>
          <w:sz w:val="24"/>
          <w:szCs w:val="24"/>
          <w:lang w:val="en-US" w:eastAsia="ru-RU"/>
        </w:rPr>
        <w:t xml:space="preserve">accrued </w:t>
      </w:r>
      <w:r w:rsidR="00C4191D">
        <w:rPr>
          <w:sz w:val="24"/>
          <w:szCs w:val="24"/>
          <w:lang w:val="en-US" w:eastAsia="ru-RU"/>
        </w:rPr>
        <w:t>for</w:t>
      </w:r>
      <w:r w:rsidR="00C4191D" w:rsidRPr="00471B24">
        <w:rPr>
          <w:sz w:val="24"/>
          <w:szCs w:val="24"/>
          <w:lang w:val="en-US" w:eastAsia="ru-RU"/>
        </w:rPr>
        <w:t xml:space="preserve"> companies in respect of which the bankruptcy procedure </w:t>
      </w:r>
      <w:r w:rsidR="00C4191D">
        <w:rPr>
          <w:sz w:val="24"/>
          <w:szCs w:val="24"/>
          <w:lang w:val="en-US" w:eastAsia="ru-RU"/>
        </w:rPr>
        <w:t>w</w:t>
      </w:r>
      <w:r w:rsidR="00C4191D" w:rsidRPr="00471B24">
        <w:rPr>
          <w:sz w:val="24"/>
          <w:szCs w:val="24"/>
          <w:lang w:val="en-US" w:eastAsia="ru-RU"/>
        </w:rPr>
        <w:t>as introduced. In particular, the compan</w:t>
      </w:r>
      <w:r w:rsidR="00C4191D">
        <w:rPr>
          <w:sz w:val="24"/>
          <w:szCs w:val="24"/>
          <w:lang w:val="en-US" w:eastAsia="ru-RU"/>
        </w:rPr>
        <w:t xml:space="preserve">ies, which </w:t>
      </w:r>
      <w:r w:rsidR="00C4191D" w:rsidRPr="00471B24">
        <w:rPr>
          <w:sz w:val="24"/>
          <w:szCs w:val="24"/>
          <w:lang w:val="en-US" w:eastAsia="ru-RU"/>
        </w:rPr>
        <w:t xml:space="preserve">were deprived of </w:t>
      </w:r>
      <w:r w:rsidR="00C4191D">
        <w:rPr>
          <w:sz w:val="24"/>
          <w:szCs w:val="24"/>
          <w:lang w:val="en-US" w:eastAsia="ru-RU"/>
        </w:rPr>
        <w:t xml:space="preserve">their </w:t>
      </w:r>
      <w:r w:rsidR="00C4191D" w:rsidRPr="00471B24">
        <w:rPr>
          <w:sz w:val="24"/>
          <w:szCs w:val="24"/>
          <w:lang w:val="en-US" w:eastAsia="ru-RU"/>
        </w:rPr>
        <w:t xml:space="preserve">status </w:t>
      </w:r>
      <w:r w:rsidR="00C4191D">
        <w:rPr>
          <w:sz w:val="24"/>
          <w:szCs w:val="24"/>
          <w:lang w:val="en-US" w:eastAsia="ru-RU"/>
        </w:rPr>
        <w:t xml:space="preserve">of suppliers of last resort </w:t>
      </w:r>
      <w:r w:rsidR="00C4191D" w:rsidRPr="00471B24">
        <w:rPr>
          <w:sz w:val="24"/>
          <w:szCs w:val="24"/>
          <w:lang w:val="en-US" w:eastAsia="ru-RU"/>
        </w:rPr>
        <w:t>in 2013</w:t>
      </w:r>
      <w:r w:rsidR="00C4191D">
        <w:rPr>
          <w:sz w:val="24"/>
          <w:szCs w:val="24"/>
          <w:lang w:val="en-US" w:eastAsia="ru-RU"/>
        </w:rPr>
        <w:t xml:space="preserve">, were </w:t>
      </w:r>
      <w:r w:rsidR="00C4191D" w:rsidRPr="00471B24">
        <w:rPr>
          <w:sz w:val="24"/>
          <w:szCs w:val="24"/>
          <w:lang w:val="en-US" w:eastAsia="ru-RU"/>
        </w:rPr>
        <w:t>in the process of bankruptcy</w:t>
      </w:r>
      <w:r w:rsidR="00433264" w:rsidRPr="00C4191D">
        <w:rPr>
          <w:sz w:val="24"/>
          <w:szCs w:val="24"/>
          <w:lang w:val="en-US" w:eastAsia="ru-RU"/>
        </w:rPr>
        <w:t xml:space="preserve"> (</w:t>
      </w:r>
      <w:r w:rsidR="00465991" w:rsidRPr="0064693C">
        <w:rPr>
          <w:sz w:val="24"/>
          <w:szCs w:val="24"/>
          <w:lang w:val="en-US" w:eastAsia="ru-RU"/>
        </w:rPr>
        <w:t>JSC</w:t>
      </w:r>
      <w:r w:rsidR="00465991" w:rsidRPr="00C4191D">
        <w:rPr>
          <w:sz w:val="24"/>
          <w:szCs w:val="24"/>
          <w:lang w:val="en-US" w:eastAsia="ru-RU"/>
        </w:rPr>
        <w:t xml:space="preserve"> "</w:t>
      </w:r>
      <w:proofErr w:type="spellStart"/>
      <w:r w:rsidR="00465991" w:rsidRPr="0064693C">
        <w:rPr>
          <w:sz w:val="24"/>
          <w:szCs w:val="24"/>
          <w:lang w:val="en-US" w:eastAsia="ru-RU"/>
        </w:rPr>
        <w:t>Bryanskenergosbyt</w:t>
      </w:r>
      <w:proofErr w:type="spellEnd"/>
      <w:r w:rsidR="00465991" w:rsidRPr="00C4191D">
        <w:rPr>
          <w:sz w:val="24"/>
          <w:szCs w:val="24"/>
          <w:lang w:val="en-US" w:eastAsia="ru-RU"/>
        </w:rPr>
        <w:t xml:space="preserve">", </w:t>
      </w:r>
      <w:r w:rsidR="00465991" w:rsidRPr="0064693C">
        <w:rPr>
          <w:sz w:val="24"/>
          <w:szCs w:val="24"/>
          <w:lang w:val="en-US" w:eastAsia="ru-RU"/>
        </w:rPr>
        <w:t>JSC</w:t>
      </w:r>
      <w:r w:rsidR="00465991" w:rsidRPr="00C4191D">
        <w:rPr>
          <w:sz w:val="24"/>
          <w:szCs w:val="24"/>
          <w:lang w:val="en-US" w:eastAsia="ru-RU"/>
        </w:rPr>
        <w:t xml:space="preserve"> "</w:t>
      </w:r>
      <w:proofErr w:type="spellStart"/>
      <w:r w:rsidR="00465991" w:rsidRPr="0064693C">
        <w:rPr>
          <w:sz w:val="24"/>
          <w:szCs w:val="24"/>
          <w:lang w:val="en-US" w:eastAsia="ru-RU"/>
        </w:rPr>
        <w:t>Kurskregionenergosbyt</w:t>
      </w:r>
      <w:proofErr w:type="spellEnd"/>
      <w:r w:rsidR="00465991" w:rsidRPr="00C4191D">
        <w:rPr>
          <w:sz w:val="24"/>
          <w:szCs w:val="24"/>
          <w:lang w:val="en-US" w:eastAsia="ru-RU"/>
        </w:rPr>
        <w:t xml:space="preserve">", </w:t>
      </w:r>
      <w:r w:rsidR="00465991" w:rsidRPr="0064693C">
        <w:rPr>
          <w:sz w:val="24"/>
          <w:szCs w:val="24"/>
          <w:lang w:val="en-US" w:eastAsia="ru-RU"/>
        </w:rPr>
        <w:t>JSC</w:t>
      </w:r>
      <w:r w:rsidR="00465991" w:rsidRPr="00C4191D">
        <w:rPr>
          <w:sz w:val="24"/>
          <w:szCs w:val="24"/>
          <w:lang w:val="en-US" w:eastAsia="ru-RU"/>
        </w:rPr>
        <w:t xml:space="preserve"> "</w:t>
      </w:r>
      <w:proofErr w:type="spellStart"/>
      <w:r w:rsidR="00465991" w:rsidRPr="0064693C">
        <w:rPr>
          <w:sz w:val="24"/>
          <w:szCs w:val="24"/>
          <w:lang w:val="en-US" w:eastAsia="ru-RU"/>
        </w:rPr>
        <w:t>Orelenergosbyt</w:t>
      </w:r>
      <w:proofErr w:type="spellEnd"/>
      <w:r w:rsidR="00465991" w:rsidRPr="00C4191D">
        <w:rPr>
          <w:sz w:val="24"/>
          <w:szCs w:val="24"/>
          <w:lang w:val="en-US" w:eastAsia="ru-RU"/>
        </w:rPr>
        <w:t xml:space="preserve">", </w:t>
      </w:r>
      <w:r w:rsidR="00465991" w:rsidRPr="0064693C">
        <w:rPr>
          <w:sz w:val="24"/>
          <w:szCs w:val="24"/>
          <w:lang w:val="en-US" w:eastAsia="ru-RU"/>
        </w:rPr>
        <w:t>JSC</w:t>
      </w:r>
      <w:r w:rsidR="00465991" w:rsidRPr="00C4191D">
        <w:rPr>
          <w:sz w:val="24"/>
          <w:szCs w:val="24"/>
          <w:lang w:val="en-US" w:eastAsia="ru-RU"/>
        </w:rPr>
        <w:t xml:space="preserve"> "</w:t>
      </w:r>
      <w:proofErr w:type="spellStart"/>
      <w:r w:rsidR="00465991" w:rsidRPr="0064693C">
        <w:rPr>
          <w:sz w:val="24"/>
          <w:szCs w:val="24"/>
          <w:lang w:val="en-US" w:eastAsia="ru-RU"/>
        </w:rPr>
        <w:t>Tverenergosbyt</w:t>
      </w:r>
      <w:proofErr w:type="spellEnd"/>
      <w:r w:rsidR="00465991" w:rsidRPr="00C4191D">
        <w:rPr>
          <w:sz w:val="24"/>
          <w:szCs w:val="24"/>
          <w:lang w:val="en-US" w:eastAsia="ru-RU"/>
        </w:rPr>
        <w:t xml:space="preserve">", </w:t>
      </w:r>
      <w:r w:rsidR="00465991" w:rsidRPr="0064693C">
        <w:rPr>
          <w:sz w:val="24"/>
          <w:szCs w:val="24"/>
          <w:lang w:val="en-US" w:eastAsia="ru-RU"/>
        </w:rPr>
        <w:t>JSC</w:t>
      </w:r>
      <w:r w:rsidR="00465991" w:rsidRPr="00C4191D">
        <w:rPr>
          <w:sz w:val="24"/>
          <w:szCs w:val="24"/>
          <w:lang w:val="en-US" w:eastAsia="ru-RU"/>
        </w:rPr>
        <w:t xml:space="preserve"> "</w:t>
      </w:r>
      <w:proofErr w:type="spellStart"/>
      <w:r w:rsidR="00465991" w:rsidRPr="0064693C">
        <w:rPr>
          <w:sz w:val="24"/>
          <w:szCs w:val="24"/>
          <w:lang w:val="en-US" w:eastAsia="ru-RU"/>
        </w:rPr>
        <w:t>Smolenskenergosbyt</w:t>
      </w:r>
      <w:proofErr w:type="spellEnd"/>
      <w:r w:rsidR="00465991" w:rsidRPr="00C4191D">
        <w:rPr>
          <w:sz w:val="24"/>
          <w:szCs w:val="24"/>
          <w:lang w:val="en-US" w:eastAsia="ru-RU"/>
        </w:rPr>
        <w:t>"</w:t>
      </w:r>
      <w:r w:rsidR="00433264" w:rsidRPr="00C4191D">
        <w:rPr>
          <w:sz w:val="24"/>
          <w:szCs w:val="24"/>
          <w:lang w:val="en-US" w:eastAsia="ru-RU"/>
        </w:rPr>
        <w:t xml:space="preserve">). </w:t>
      </w:r>
      <w:r w:rsidR="00A23A31">
        <w:rPr>
          <w:sz w:val="24"/>
          <w:szCs w:val="24"/>
          <w:lang w:val="en-US" w:eastAsia="ru-RU"/>
        </w:rPr>
        <w:t>The p</w:t>
      </w:r>
      <w:r w:rsidR="00A23A31" w:rsidRPr="00471B24">
        <w:rPr>
          <w:sz w:val="24"/>
          <w:szCs w:val="24"/>
          <w:lang w:val="en-US" w:eastAsia="ru-RU"/>
        </w:rPr>
        <w:t>rovision for these companies is</w:t>
      </w:r>
      <w:r w:rsidR="00B3374B" w:rsidRPr="00C4191D">
        <w:rPr>
          <w:sz w:val="24"/>
          <w:szCs w:val="24"/>
          <w:lang w:val="en-US" w:eastAsia="ru-RU"/>
        </w:rPr>
        <w:t xml:space="preserve"> 7 087 103 </w:t>
      </w:r>
      <w:proofErr w:type="spellStart"/>
      <w:r w:rsidR="008F47BD" w:rsidRPr="00C4191D">
        <w:rPr>
          <w:sz w:val="24"/>
          <w:szCs w:val="24"/>
          <w:lang w:val="en-US" w:eastAsia="ru-RU"/>
        </w:rPr>
        <w:t>thous</w:t>
      </w:r>
      <w:proofErr w:type="spellEnd"/>
      <w:r w:rsidR="008F47BD" w:rsidRPr="00C4191D">
        <w:rPr>
          <w:sz w:val="24"/>
          <w:szCs w:val="24"/>
          <w:lang w:val="en-US" w:eastAsia="ru-RU"/>
        </w:rPr>
        <w:t>. RUB</w:t>
      </w:r>
      <w:r w:rsidR="008F47BD">
        <w:rPr>
          <w:sz w:val="24"/>
          <w:szCs w:val="24"/>
          <w:lang w:val="en-US" w:eastAsia="ru-RU"/>
        </w:rPr>
        <w:t>.</w:t>
      </w:r>
    </w:p>
    <w:p w:rsidR="00433264" w:rsidRPr="00C4191D" w:rsidRDefault="00433264" w:rsidP="00433264">
      <w:pPr>
        <w:ind w:firstLine="709"/>
        <w:jc w:val="both"/>
        <w:rPr>
          <w:sz w:val="24"/>
          <w:szCs w:val="24"/>
          <w:lang w:val="en-US" w:eastAsia="ru-RU"/>
        </w:rPr>
      </w:pPr>
    </w:p>
    <w:p w:rsidR="006F5E51" w:rsidRPr="005100C9" w:rsidRDefault="005100C9" w:rsidP="00BB78B3">
      <w:pPr>
        <w:ind w:firstLine="709"/>
        <w:jc w:val="both"/>
        <w:rPr>
          <w:sz w:val="24"/>
          <w:szCs w:val="24"/>
          <w:lang w:val="en-US" w:eastAsia="ru-RU"/>
        </w:rPr>
      </w:pPr>
      <w:r w:rsidRPr="0064693C">
        <w:rPr>
          <w:sz w:val="24"/>
          <w:szCs w:val="24"/>
          <w:lang w:val="en-US" w:eastAsia="ru-RU"/>
        </w:rPr>
        <w:t xml:space="preserve">Information on material disagreements with retail companies is recorded in the explanatory note to the accounting balance sheet and the profit and loss statement in table </w:t>
      </w:r>
      <w:r w:rsidR="00717B59" w:rsidRPr="005100C9">
        <w:rPr>
          <w:sz w:val="24"/>
          <w:szCs w:val="24"/>
          <w:lang w:val="en-US" w:eastAsia="ru-RU"/>
        </w:rPr>
        <w:t>5.6.4.</w:t>
      </w:r>
    </w:p>
    <w:p w:rsidR="00A7261F" w:rsidRPr="005100C9" w:rsidRDefault="00A7261F" w:rsidP="00BB78B3">
      <w:pPr>
        <w:ind w:firstLine="709"/>
        <w:jc w:val="both"/>
        <w:rPr>
          <w:sz w:val="24"/>
          <w:szCs w:val="24"/>
          <w:lang w:val="en-US" w:eastAsia="ru-RU"/>
        </w:rPr>
      </w:pPr>
    </w:p>
    <w:p w:rsidR="008041DF" w:rsidRPr="005100C9" w:rsidRDefault="008041DF" w:rsidP="00BB78B3">
      <w:pPr>
        <w:ind w:firstLine="709"/>
        <w:jc w:val="both"/>
        <w:rPr>
          <w:sz w:val="24"/>
          <w:szCs w:val="24"/>
          <w:lang w:val="en-US" w:eastAsia="ru-RU"/>
        </w:rPr>
      </w:pPr>
    </w:p>
    <w:p w:rsidR="00A236F4" w:rsidRPr="009D6FD2" w:rsidRDefault="00A236F4" w:rsidP="00E37AB5">
      <w:pPr>
        <w:pStyle w:val="8"/>
        <w:keepNext/>
        <w:keepLines/>
        <w:numPr>
          <w:ilvl w:val="1"/>
          <w:numId w:val="7"/>
        </w:numPr>
        <w:rPr>
          <w:lang w:val="en-US"/>
        </w:rPr>
      </w:pPr>
      <w:r w:rsidRPr="005100C9">
        <w:rPr>
          <w:lang w:val="en-US"/>
        </w:rPr>
        <w:t xml:space="preserve"> </w:t>
      </w:r>
      <w:bookmarkStart w:id="11" w:name="_Toc381199333"/>
      <w:r w:rsidR="00430772" w:rsidRPr="005100C9">
        <w:rPr>
          <w:lang w:val="en-US"/>
        </w:rPr>
        <w:t xml:space="preserve">         </w:t>
      </w:r>
      <w:bookmarkEnd w:id="11"/>
      <w:r w:rsidR="009D6FD2" w:rsidRPr="0064693C">
        <w:rPr>
          <w:lang w:val="en-US"/>
        </w:rPr>
        <w:t>Information on credits and loans</w:t>
      </w:r>
    </w:p>
    <w:p w:rsidR="00E756A0" w:rsidRPr="009D6FD2" w:rsidRDefault="00E756A0" w:rsidP="00E756A0">
      <w:pPr>
        <w:keepNext/>
        <w:keepLines/>
        <w:rPr>
          <w:sz w:val="24"/>
          <w:szCs w:val="24"/>
          <w:lang w:val="en-US" w:eastAsia="ru-RU"/>
        </w:rPr>
      </w:pPr>
    </w:p>
    <w:p w:rsidR="00A236F4" w:rsidRPr="009D6FD2" w:rsidRDefault="00325C51" w:rsidP="00E756A0">
      <w:pPr>
        <w:keepNext/>
        <w:keepLines/>
        <w:ind w:firstLine="709"/>
        <w:jc w:val="both"/>
        <w:rPr>
          <w:sz w:val="24"/>
          <w:szCs w:val="24"/>
          <w:lang w:val="en-US" w:eastAsia="ru-RU"/>
        </w:rPr>
      </w:pPr>
      <w:r w:rsidRPr="00726828">
        <w:rPr>
          <w:sz w:val="24"/>
          <w:szCs w:val="24"/>
          <w:lang w:val="en-US" w:eastAsia="ru-RU"/>
        </w:rPr>
        <w:t>3</w:t>
      </w:r>
      <w:r w:rsidR="00A236F4" w:rsidRPr="00726828">
        <w:rPr>
          <w:sz w:val="24"/>
          <w:szCs w:val="24"/>
          <w:lang w:val="en-US" w:eastAsia="ru-RU"/>
        </w:rPr>
        <w:t>.</w:t>
      </w:r>
      <w:r w:rsidRPr="00726828">
        <w:rPr>
          <w:sz w:val="24"/>
          <w:szCs w:val="24"/>
          <w:lang w:val="en-US" w:eastAsia="ru-RU"/>
        </w:rPr>
        <w:t>6</w:t>
      </w:r>
      <w:r w:rsidR="00A236F4" w:rsidRPr="00726828">
        <w:rPr>
          <w:sz w:val="24"/>
          <w:szCs w:val="24"/>
          <w:lang w:val="en-US" w:eastAsia="ru-RU"/>
        </w:rPr>
        <w:t>.</w:t>
      </w:r>
      <w:r w:rsidRPr="00726828">
        <w:rPr>
          <w:sz w:val="24"/>
          <w:szCs w:val="24"/>
          <w:lang w:val="en-US" w:eastAsia="ru-RU"/>
        </w:rPr>
        <w:t>1</w:t>
      </w:r>
      <w:r w:rsidRPr="00726828">
        <w:rPr>
          <w:sz w:val="24"/>
          <w:szCs w:val="24"/>
          <w:lang w:val="en-US"/>
        </w:rPr>
        <w:t>.</w:t>
      </w:r>
      <w:r w:rsidR="00A236F4" w:rsidRPr="00726828">
        <w:rPr>
          <w:sz w:val="24"/>
          <w:szCs w:val="24"/>
          <w:lang w:val="en-US"/>
        </w:rPr>
        <w:t xml:space="preserve"> </w:t>
      </w:r>
      <w:r w:rsidR="009D6FD2" w:rsidRPr="0064693C">
        <w:rPr>
          <w:rFonts w:ascii="13" w:hAnsi="13"/>
          <w:sz w:val="24"/>
          <w:szCs w:val="24"/>
          <w:lang w:val="en-US"/>
        </w:rPr>
        <w:t xml:space="preserve">Information on credits and loans in included </w:t>
      </w:r>
      <w:r w:rsidR="009D6FD2" w:rsidRPr="0064693C">
        <w:rPr>
          <w:sz w:val="24"/>
          <w:szCs w:val="24"/>
          <w:lang w:val="en-US" w:eastAsia="ru-RU"/>
        </w:rPr>
        <w:t>in the explanatory note to the accounting balance sheet and the profit and loss statement in table</w:t>
      </w:r>
      <w:r w:rsidR="009D6FD2">
        <w:rPr>
          <w:sz w:val="24"/>
          <w:szCs w:val="24"/>
          <w:lang w:val="en-US" w:eastAsia="ru-RU"/>
        </w:rPr>
        <w:t>s</w:t>
      </w:r>
      <w:r w:rsidR="009D6FD2" w:rsidRPr="0064693C">
        <w:rPr>
          <w:sz w:val="24"/>
          <w:szCs w:val="24"/>
          <w:lang w:val="en-US" w:eastAsia="ru-RU"/>
        </w:rPr>
        <w:t xml:space="preserve"> </w:t>
      </w:r>
      <w:r w:rsidR="00A236F4" w:rsidRPr="009D6FD2">
        <w:rPr>
          <w:sz w:val="24"/>
          <w:szCs w:val="24"/>
          <w:lang w:val="en-US" w:eastAsia="ru-RU"/>
        </w:rPr>
        <w:t>5.6.7</w:t>
      </w:r>
      <w:r w:rsidR="00FE7631" w:rsidRPr="009D6FD2">
        <w:rPr>
          <w:sz w:val="24"/>
          <w:szCs w:val="24"/>
          <w:lang w:val="en-US" w:eastAsia="ru-RU"/>
        </w:rPr>
        <w:t>, 5.6.8.</w:t>
      </w:r>
    </w:p>
    <w:p w:rsidR="00E756A0" w:rsidRPr="009D6FD2" w:rsidRDefault="00E756A0" w:rsidP="00E756A0">
      <w:pPr>
        <w:keepNext/>
        <w:keepLines/>
        <w:ind w:firstLine="709"/>
        <w:jc w:val="both"/>
        <w:rPr>
          <w:sz w:val="24"/>
          <w:szCs w:val="24"/>
          <w:lang w:val="en-US" w:eastAsia="ru-RU"/>
        </w:rPr>
      </w:pPr>
    </w:p>
    <w:p w:rsidR="00A720F1" w:rsidRPr="0064693C" w:rsidRDefault="005455E0" w:rsidP="00A720F1">
      <w:pPr>
        <w:ind w:firstLine="709"/>
        <w:jc w:val="both"/>
        <w:rPr>
          <w:sz w:val="24"/>
          <w:szCs w:val="24"/>
          <w:lang w:val="en-US" w:eastAsia="ru-RU"/>
        </w:rPr>
      </w:pPr>
      <w:r w:rsidRPr="00726828">
        <w:rPr>
          <w:sz w:val="24"/>
          <w:szCs w:val="24"/>
          <w:lang w:val="en-US" w:eastAsia="ru-RU"/>
        </w:rPr>
        <w:t xml:space="preserve">3.6.2. </w:t>
      </w:r>
      <w:r w:rsidR="00A720F1" w:rsidRPr="0064693C">
        <w:rPr>
          <w:sz w:val="24"/>
          <w:szCs w:val="24"/>
          <w:lang w:val="en-US" w:eastAsia="ru-RU"/>
        </w:rPr>
        <w:t xml:space="preserve">Debt of IDGC of Centre under credits and loans as at </w:t>
      </w:r>
      <w:r w:rsidRPr="00A720F1">
        <w:rPr>
          <w:sz w:val="24"/>
          <w:szCs w:val="24"/>
          <w:lang w:val="en-US" w:eastAsia="ru-RU"/>
        </w:rPr>
        <w:t>31.12.2014</w:t>
      </w:r>
      <w:r w:rsidR="002644C5" w:rsidRPr="00A720F1">
        <w:rPr>
          <w:sz w:val="24"/>
          <w:szCs w:val="24"/>
          <w:lang w:val="en-US" w:eastAsia="ru-RU"/>
        </w:rPr>
        <w:t xml:space="preserve"> </w:t>
      </w:r>
      <w:r w:rsidR="00A720F1" w:rsidRPr="0064693C">
        <w:rPr>
          <w:sz w:val="24"/>
          <w:szCs w:val="24"/>
          <w:lang w:val="en-US" w:eastAsia="ru-RU"/>
        </w:rPr>
        <w:t>will be paid back within the following terms:</w:t>
      </w:r>
    </w:p>
    <w:p w:rsidR="005455E0" w:rsidRPr="00726828" w:rsidRDefault="00A720F1" w:rsidP="00A720F1">
      <w:pPr>
        <w:ind w:firstLine="709"/>
        <w:jc w:val="both"/>
        <w:rPr>
          <w:sz w:val="24"/>
          <w:szCs w:val="24"/>
          <w:lang w:val="en-US" w:eastAsia="ru-RU"/>
        </w:rPr>
      </w:pPr>
      <w:proofErr w:type="gramStart"/>
      <w:r w:rsidRPr="0064693C">
        <w:rPr>
          <w:sz w:val="24"/>
          <w:szCs w:val="24"/>
          <w:lang w:val="en-US" w:eastAsia="ru-RU"/>
        </w:rPr>
        <w:t>In</w:t>
      </w:r>
      <w:r w:rsidRPr="00A720F1">
        <w:rPr>
          <w:sz w:val="24"/>
          <w:szCs w:val="24"/>
          <w:lang w:val="en-US" w:eastAsia="ru-RU"/>
        </w:rPr>
        <w:t xml:space="preserve"> </w:t>
      </w:r>
      <w:r w:rsidRPr="0064693C">
        <w:rPr>
          <w:sz w:val="24"/>
          <w:szCs w:val="24"/>
          <w:lang w:val="en-US" w:eastAsia="ru-RU"/>
        </w:rPr>
        <w:t>the</w:t>
      </w:r>
      <w:r w:rsidRPr="00A720F1">
        <w:rPr>
          <w:sz w:val="24"/>
          <w:szCs w:val="24"/>
          <w:lang w:val="en-US" w:eastAsia="ru-RU"/>
        </w:rPr>
        <w:t xml:space="preserve"> </w:t>
      </w:r>
      <w:r w:rsidRPr="0064693C">
        <w:rPr>
          <w:sz w:val="24"/>
          <w:szCs w:val="24"/>
          <w:lang w:val="en-US" w:eastAsia="ru-RU"/>
        </w:rPr>
        <w:t>period</w:t>
      </w:r>
      <w:r w:rsidRPr="00A720F1">
        <w:rPr>
          <w:sz w:val="24"/>
          <w:szCs w:val="24"/>
          <w:lang w:val="en-US" w:eastAsia="ru-RU"/>
        </w:rPr>
        <w:t xml:space="preserve"> </w:t>
      </w:r>
      <w:r w:rsidRPr="0064693C">
        <w:rPr>
          <w:sz w:val="24"/>
          <w:szCs w:val="24"/>
          <w:lang w:val="en-US" w:eastAsia="ru-RU"/>
        </w:rPr>
        <w:t>from</w:t>
      </w:r>
      <w:r w:rsidR="005455E0" w:rsidRPr="00A720F1">
        <w:rPr>
          <w:sz w:val="24"/>
          <w:szCs w:val="24"/>
          <w:lang w:val="en-US" w:eastAsia="ru-RU"/>
        </w:rPr>
        <w:t xml:space="preserve"> 2015 </w:t>
      </w:r>
      <w:r>
        <w:rPr>
          <w:sz w:val="24"/>
          <w:szCs w:val="24"/>
          <w:lang w:val="en-US" w:eastAsia="ru-RU"/>
        </w:rPr>
        <w:t>to</w:t>
      </w:r>
      <w:r w:rsidR="005455E0" w:rsidRPr="00A720F1">
        <w:rPr>
          <w:sz w:val="24"/>
          <w:szCs w:val="24"/>
          <w:lang w:val="en-US" w:eastAsia="ru-RU"/>
        </w:rPr>
        <w:t xml:space="preserve"> 2025 </w:t>
      </w:r>
      <w:r w:rsidRPr="0064693C">
        <w:rPr>
          <w:sz w:val="24"/>
          <w:szCs w:val="24"/>
          <w:lang w:val="en-US" w:eastAsia="ru-RU"/>
        </w:rPr>
        <w:t xml:space="preserve">the credits and loans in the amount of </w:t>
      </w:r>
      <w:r w:rsidR="005455E0" w:rsidRPr="00A720F1">
        <w:rPr>
          <w:sz w:val="24"/>
          <w:szCs w:val="24"/>
          <w:lang w:val="en-US" w:eastAsia="ru-RU"/>
        </w:rPr>
        <w:t xml:space="preserve">37 200 970 </w:t>
      </w:r>
      <w:proofErr w:type="spellStart"/>
      <w:r w:rsidR="008F47BD" w:rsidRPr="00A720F1">
        <w:rPr>
          <w:sz w:val="24"/>
          <w:szCs w:val="24"/>
          <w:lang w:val="en-US" w:eastAsia="ru-RU"/>
        </w:rPr>
        <w:t>thous</w:t>
      </w:r>
      <w:proofErr w:type="spellEnd"/>
      <w:r w:rsidR="008F47BD" w:rsidRPr="00A720F1">
        <w:rPr>
          <w:sz w:val="24"/>
          <w:szCs w:val="24"/>
          <w:lang w:val="en-US" w:eastAsia="ru-RU"/>
        </w:rPr>
        <w:t>.</w:t>
      </w:r>
      <w:proofErr w:type="gramEnd"/>
      <w:r w:rsidR="008F47BD" w:rsidRPr="00A720F1">
        <w:rPr>
          <w:sz w:val="24"/>
          <w:szCs w:val="24"/>
          <w:lang w:val="en-US" w:eastAsia="ru-RU"/>
        </w:rPr>
        <w:t xml:space="preserve"> </w:t>
      </w:r>
      <w:r w:rsidR="008F47BD" w:rsidRPr="00726828">
        <w:rPr>
          <w:sz w:val="24"/>
          <w:szCs w:val="24"/>
          <w:lang w:val="en-US" w:eastAsia="ru-RU"/>
        </w:rPr>
        <w:t>RUB</w:t>
      </w:r>
      <w:r>
        <w:rPr>
          <w:sz w:val="24"/>
          <w:szCs w:val="24"/>
          <w:lang w:val="en-US" w:eastAsia="ru-RU"/>
        </w:rPr>
        <w:t xml:space="preserve"> will be </w:t>
      </w:r>
      <w:r w:rsidR="00763D71">
        <w:rPr>
          <w:sz w:val="24"/>
          <w:szCs w:val="24"/>
          <w:lang w:val="en-US" w:eastAsia="ru-RU"/>
        </w:rPr>
        <w:t>mature</w:t>
      </w:r>
      <w:r w:rsidR="005455E0" w:rsidRPr="00726828">
        <w:rPr>
          <w:sz w:val="24"/>
          <w:szCs w:val="24"/>
          <w:lang w:val="en-US" w:eastAsia="ru-RU"/>
        </w:rPr>
        <w:t xml:space="preserve">, </w:t>
      </w:r>
      <w:r w:rsidRPr="0064693C">
        <w:rPr>
          <w:sz w:val="24"/>
          <w:szCs w:val="24"/>
          <w:lang w:val="en-US" w:eastAsia="ru-RU"/>
        </w:rPr>
        <w:t>including</w:t>
      </w:r>
      <w:r w:rsidR="005455E0" w:rsidRPr="00726828">
        <w:rPr>
          <w:sz w:val="24"/>
          <w:szCs w:val="24"/>
          <w:lang w:val="en-US" w:eastAsia="ru-RU"/>
        </w:rPr>
        <w:t>:</w:t>
      </w:r>
    </w:p>
    <w:p w:rsidR="005455E0" w:rsidRPr="00726828" w:rsidRDefault="00A720F1" w:rsidP="005455E0">
      <w:pPr>
        <w:ind w:firstLine="709"/>
        <w:jc w:val="both"/>
        <w:rPr>
          <w:sz w:val="24"/>
          <w:szCs w:val="24"/>
          <w:lang w:val="en-US" w:eastAsia="ru-RU"/>
        </w:rPr>
      </w:pPr>
      <w:proofErr w:type="gramStart"/>
      <w:r>
        <w:rPr>
          <w:sz w:val="24"/>
          <w:szCs w:val="24"/>
          <w:lang w:val="en-US" w:eastAsia="ru-RU"/>
        </w:rPr>
        <w:t>in</w:t>
      </w:r>
      <w:proofErr w:type="gramEnd"/>
      <w:r w:rsidR="005455E0" w:rsidRPr="00726828">
        <w:rPr>
          <w:sz w:val="24"/>
          <w:szCs w:val="24"/>
          <w:lang w:val="en-US" w:eastAsia="ru-RU"/>
        </w:rPr>
        <w:t xml:space="preserve"> 2015  – 9 400 000 </w:t>
      </w:r>
      <w:proofErr w:type="spellStart"/>
      <w:r w:rsidR="008F47BD" w:rsidRPr="00726828">
        <w:rPr>
          <w:sz w:val="24"/>
          <w:szCs w:val="24"/>
          <w:lang w:val="en-US" w:eastAsia="ru-RU"/>
        </w:rPr>
        <w:t>thous</w:t>
      </w:r>
      <w:proofErr w:type="spellEnd"/>
      <w:r w:rsidR="008F47BD" w:rsidRPr="00726828">
        <w:rPr>
          <w:sz w:val="24"/>
          <w:szCs w:val="24"/>
          <w:lang w:val="en-US" w:eastAsia="ru-RU"/>
        </w:rPr>
        <w:t>. RUB</w:t>
      </w:r>
      <w:r w:rsidR="005455E0" w:rsidRPr="00726828">
        <w:rPr>
          <w:sz w:val="24"/>
          <w:szCs w:val="24"/>
          <w:lang w:val="en-US" w:eastAsia="ru-RU"/>
        </w:rPr>
        <w:t>,</w:t>
      </w:r>
    </w:p>
    <w:p w:rsidR="005455E0" w:rsidRPr="008F47BD" w:rsidRDefault="00A720F1" w:rsidP="005455E0">
      <w:pPr>
        <w:ind w:firstLine="709"/>
        <w:jc w:val="both"/>
        <w:rPr>
          <w:sz w:val="24"/>
          <w:szCs w:val="24"/>
          <w:lang w:val="en-US" w:eastAsia="ru-RU"/>
        </w:rPr>
      </w:pPr>
      <w:proofErr w:type="gramStart"/>
      <w:r>
        <w:rPr>
          <w:sz w:val="24"/>
          <w:szCs w:val="24"/>
          <w:lang w:val="en-US" w:eastAsia="ru-RU"/>
        </w:rPr>
        <w:t>in</w:t>
      </w:r>
      <w:proofErr w:type="gramEnd"/>
      <w:r w:rsidR="005455E0" w:rsidRPr="00726828">
        <w:rPr>
          <w:sz w:val="24"/>
          <w:szCs w:val="24"/>
          <w:lang w:val="en-US" w:eastAsia="ru-RU"/>
        </w:rPr>
        <w:t xml:space="preserve"> 2016  – 1 500 000 </w:t>
      </w:r>
      <w:proofErr w:type="spellStart"/>
      <w:r w:rsidR="008F47BD" w:rsidRPr="00726828">
        <w:rPr>
          <w:sz w:val="24"/>
          <w:szCs w:val="24"/>
          <w:lang w:val="en-US" w:eastAsia="ru-RU"/>
        </w:rPr>
        <w:t>thous</w:t>
      </w:r>
      <w:proofErr w:type="spellEnd"/>
      <w:r w:rsidR="008F47BD" w:rsidRPr="00726828">
        <w:rPr>
          <w:sz w:val="24"/>
          <w:szCs w:val="24"/>
          <w:lang w:val="en-US" w:eastAsia="ru-RU"/>
        </w:rPr>
        <w:t xml:space="preserve">. </w:t>
      </w:r>
      <w:r w:rsidR="008F47BD" w:rsidRPr="008F47BD">
        <w:rPr>
          <w:sz w:val="24"/>
          <w:szCs w:val="24"/>
          <w:lang w:val="en-US" w:eastAsia="ru-RU"/>
        </w:rPr>
        <w:t>RUB</w:t>
      </w:r>
      <w:r w:rsidR="005455E0" w:rsidRPr="008F47BD">
        <w:rPr>
          <w:sz w:val="24"/>
          <w:szCs w:val="24"/>
          <w:lang w:val="en-US" w:eastAsia="ru-RU"/>
        </w:rPr>
        <w:t>,</w:t>
      </w:r>
    </w:p>
    <w:p w:rsidR="005455E0" w:rsidRPr="008F47BD" w:rsidRDefault="00A720F1" w:rsidP="005455E0">
      <w:pPr>
        <w:ind w:firstLine="709"/>
        <w:jc w:val="both"/>
        <w:rPr>
          <w:sz w:val="24"/>
          <w:szCs w:val="24"/>
          <w:lang w:val="en-US" w:eastAsia="ru-RU"/>
        </w:rPr>
      </w:pPr>
      <w:proofErr w:type="gramStart"/>
      <w:r>
        <w:rPr>
          <w:sz w:val="24"/>
          <w:szCs w:val="24"/>
          <w:lang w:val="en-US" w:eastAsia="ru-RU"/>
        </w:rPr>
        <w:t>in</w:t>
      </w:r>
      <w:proofErr w:type="gramEnd"/>
      <w:r w:rsidR="005455E0" w:rsidRPr="008F47BD">
        <w:rPr>
          <w:sz w:val="24"/>
          <w:szCs w:val="24"/>
          <w:lang w:val="en-US" w:eastAsia="ru-RU"/>
        </w:rPr>
        <w:t xml:space="preserve"> 2017  – 12 050 000 </w:t>
      </w:r>
      <w:proofErr w:type="spellStart"/>
      <w:r w:rsidR="008F47BD" w:rsidRPr="008F47BD">
        <w:rPr>
          <w:sz w:val="24"/>
          <w:szCs w:val="24"/>
          <w:lang w:val="en-US" w:eastAsia="ru-RU"/>
        </w:rPr>
        <w:t>thous</w:t>
      </w:r>
      <w:proofErr w:type="spellEnd"/>
      <w:r w:rsidR="008F47BD" w:rsidRPr="008F47BD">
        <w:rPr>
          <w:sz w:val="24"/>
          <w:szCs w:val="24"/>
          <w:lang w:val="en-US" w:eastAsia="ru-RU"/>
        </w:rPr>
        <w:t>. RUB</w:t>
      </w:r>
      <w:r w:rsidR="005455E0" w:rsidRPr="008F47BD">
        <w:rPr>
          <w:sz w:val="24"/>
          <w:szCs w:val="24"/>
          <w:lang w:val="en-US" w:eastAsia="ru-RU"/>
        </w:rPr>
        <w:t>,</w:t>
      </w:r>
    </w:p>
    <w:p w:rsidR="005455E0" w:rsidRPr="00726828" w:rsidRDefault="00A720F1" w:rsidP="005455E0">
      <w:pPr>
        <w:ind w:firstLine="709"/>
        <w:jc w:val="both"/>
        <w:rPr>
          <w:sz w:val="24"/>
          <w:szCs w:val="24"/>
          <w:lang w:val="en-US" w:eastAsia="ru-RU"/>
        </w:rPr>
      </w:pPr>
      <w:proofErr w:type="gramStart"/>
      <w:r>
        <w:rPr>
          <w:sz w:val="24"/>
          <w:szCs w:val="24"/>
          <w:lang w:val="en-US" w:eastAsia="ru-RU"/>
        </w:rPr>
        <w:t>in</w:t>
      </w:r>
      <w:proofErr w:type="gramEnd"/>
      <w:r w:rsidR="005455E0" w:rsidRPr="00726828">
        <w:rPr>
          <w:sz w:val="24"/>
          <w:szCs w:val="24"/>
          <w:lang w:val="en-US" w:eastAsia="ru-RU"/>
        </w:rPr>
        <w:t xml:space="preserve"> 2018  – 11 120 000 </w:t>
      </w:r>
      <w:proofErr w:type="spellStart"/>
      <w:r w:rsidR="008F47BD" w:rsidRPr="00726828">
        <w:rPr>
          <w:sz w:val="24"/>
          <w:szCs w:val="24"/>
          <w:lang w:val="en-US" w:eastAsia="ru-RU"/>
        </w:rPr>
        <w:t>thous</w:t>
      </w:r>
      <w:proofErr w:type="spellEnd"/>
      <w:r w:rsidR="008F47BD" w:rsidRPr="00726828">
        <w:rPr>
          <w:sz w:val="24"/>
          <w:szCs w:val="24"/>
          <w:lang w:val="en-US" w:eastAsia="ru-RU"/>
        </w:rPr>
        <w:t>. RUB</w:t>
      </w:r>
      <w:r w:rsidR="005455E0" w:rsidRPr="00726828">
        <w:rPr>
          <w:sz w:val="24"/>
          <w:szCs w:val="24"/>
          <w:lang w:val="en-US" w:eastAsia="ru-RU"/>
        </w:rPr>
        <w:t>,</w:t>
      </w:r>
    </w:p>
    <w:p w:rsidR="005455E0" w:rsidRPr="00A720F1" w:rsidRDefault="00A720F1" w:rsidP="005455E0">
      <w:pPr>
        <w:ind w:firstLine="709"/>
        <w:jc w:val="both"/>
        <w:rPr>
          <w:sz w:val="24"/>
          <w:szCs w:val="24"/>
          <w:lang w:val="en-US" w:eastAsia="ru-RU"/>
        </w:rPr>
      </w:pPr>
      <w:proofErr w:type="gramStart"/>
      <w:r>
        <w:rPr>
          <w:sz w:val="24"/>
          <w:szCs w:val="24"/>
          <w:lang w:val="en-US" w:eastAsia="ru-RU"/>
        </w:rPr>
        <w:t>in</w:t>
      </w:r>
      <w:proofErr w:type="gramEnd"/>
      <w:r w:rsidR="005455E0" w:rsidRPr="00A720F1">
        <w:rPr>
          <w:sz w:val="24"/>
          <w:szCs w:val="24"/>
          <w:lang w:val="en-US" w:eastAsia="ru-RU"/>
        </w:rPr>
        <w:t xml:space="preserve"> 2025  – 3 000 000 </w:t>
      </w:r>
      <w:proofErr w:type="spellStart"/>
      <w:r w:rsidR="008F47BD" w:rsidRPr="00A720F1">
        <w:rPr>
          <w:sz w:val="24"/>
          <w:szCs w:val="24"/>
          <w:lang w:val="en-US" w:eastAsia="ru-RU"/>
        </w:rPr>
        <w:t>thous</w:t>
      </w:r>
      <w:proofErr w:type="spellEnd"/>
      <w:r w:rsidR="008F47BD" w:rsidRPr="00A720F1">
        <w:rPr>
          <w:sz w:val="24"/>
          <w:szCs w:val="24"/>
          <w:lang w:val="en-US" w:eastAsia="ru-RU"/>
        </w:rPr>
        <w:t>. RUB</w:t>
      </w:r>
      <w:r>
        <w:rPr>
          <w:sz w:val="24"/>
          <w:szCs w:val="24"/>
          <w:lang w:val="en-US" w:eastAsia="ru-RU"/>
        </w:rPr>
        <w:t>.</w:t>
      </w:r>
    </w:p>
    <w:p w:rsidR="005455E0" w:rsidRPr="00A720F1" w:rsidRDefault="005455E0" w:rsidP="005455E0">
      <w:pPr>
        <w:rPr>
          <w:sz w:val="24"/>
          <w:szCs w:val="24"/>
          <w:lang w:val="en-US" w:eastAsia="ru-RU"/>
        </w:rPr>
      </w:pPr>
    </w:p>
    <w:p w:rsidR="005455E0" w:rsidRPr="00A720F1" w:rsidRDefault="00A720F1" w:rsidP="005455E0">
      <w:pPr>
        <w:ind w:firstLine="709"/>
        <w:jc w:val="both"/>
        <w:rPr>
          <w:sz w:val="24"/>
          <w:szCs w:val="24"/>
          <w:lang w:val="en-US" w:eastAsia="ru-RU"/>
        </w:rPr>
      </w:pPr>
      <w:r w:rsidRPr="0064693C">
        <w:rPr>
          <w:sz w:val="24"/>
          <w:szCs w:val="24"/>
          <w:lang w:val="en-US" w:eastAsia="ru-RU"/>
        </w:rPr>
        <w:t xml:space="preserve">The sum of free limits under acting credit contracts of the Company as at </w:t>
      </w:r>
      <w:r w:rsidR="005455E0" w:rsidRPr="00A720F1">
        <w:rPr>
          <w:sz w:val="24"/>
          <w:szCs w:val="24"/>
          <w:lang w:val="en-US" w:eastAsia="ru-RU"/>
        </w:rPr>
        <w:t xml:space="preserve">31.12.2014 </w:t>
      </w:r>
      <w:r>
        <w:rPr>
          <w:sz w:val="24"/>
          <w:szCs w:val="24"/>
          <w:lang w:val="en-US" w:eastAsia="ru-RU"/>
        </w:rPr>
        <w:t>is</w:t>
      </w:r>
      <w:r w:rsidR="005455E0" w:rsidRPr="00A720F1">
        <w:rPr>
          <w:sz w:val="24"/>
          <w:szCs w:val="24"/>
          <w:lang w:val="en-US" w:eastAsia="ru-RU"/>
        </w:rPr>
        <w:t xml:space="preserve"> 10 150 000 </w:t>
      </w:r>
      <w:proofErr w:type="spellStart"/>
      <w:r w:rsidR="008F47BD" w:rsidRPr="00A720F1">
        <w:rPr>
          <w:sz w:val="24"/>
          <w:szCs w:val="24"/>
          <w:lang w:val="en-US" w:eastAsia="ru-RU"/>
        </w:rPr>
        <w:t>thous</w:t>
      </w:r>
      <w:proofErr w:type="spellEnd"/>
      <w:r w:rsidR="008F47BD" w:rsidRPr="00A720F1">
        <w:rPr>
          <w:sz w:val="24"/>
          <w:szCs w:val="24"/>
          <w:lang w:val="en-US" w:eastAsia="ru-RU"/>
        </w:rPr>
        <w:t>. RUB</w:t>
      </w:r>
    </w:p>
    <w:p w:rsidR="00A236F4" w:rsidRPr="00A720F1" w:rsidRDefault="00A236F4" w:rsidP="00A236F4">
      <w:pPr>
        <w:ind w:firstLine="709"/>
        <w:jc w:val="both"/>
        <w:rPr>
          <w:sz w:val="24"/>
          <w:szCs w:val="24"/>
          <w:lang w:val="en-US" w:eastAsia="ru-RU"/>
        </w:rPr>
      </w:pPr>
    </w:p>
    <w:p w:rsidR="00A236F4" w:rsidRPr="002D1BAA" w:rsidRDefault="00325C51" w:rsidP="00EC52B7">
      <w:pPr>
        <w:ind w:firstLine="709"/>
        <w:jc w:val="both"/>
        <w:rPr>
          <w:sz w:val="24"/>
          <w:szCs w:val="24"/>
          <w:lang w:val="en-US" w:eastAsia="ru-RU"/>
        </w:rPr>
      </w:pPr>
      <w:r w:rsidRPr="00726828">
        <w:rPr>
          <w:sz w:val="24"/>
          <w:szCs w:val="24"/>
          <w:lang w:val="en-US" w:eastAsia="ru-RU"/>
        </w:rPr>
        <w:t>3</w:t>
      </w:r>
      <w:r w:rsidR="00A236F4" w:rsidRPr="00726828">
        <w:rPr>
          <w:sz w:val="24"/>
          <w:szCs w:val="24"/>
          <w:lang w:val="en-US" w:eastAsia="ru-RU"/>
        </w:rPr>
        <w:t>.</w:t>
      </w:r>
      <w:r w:rsidRPr="00726828">
        <w:rPr>
          <w:sz w:val="24"/>
          <w:szCs w:val="24"/>
          <w:lang w:val="en-US" w:eastAsia="ru-RU"/>
        </w:rPr>
        <w:t>6</w:t>
      </w:r>
      <w:r w:rsidR="00A236F4" w:rsidRPr="00726828">
        <w:rPr>
          <w:sz w:val="24"/>
          <w:szCs w:val="24"/>
          <w:lang w:val="en-US" w:eastAsia="ru-RU"/>
        </w:rPr>
        <w:t>.</w:t>
      </w:r>
      <w:r w:rsidRPr="00726828">
        <w:rPr>
          <w:sz w:val="24"/>
          <w:szCs w:val="24"/>
          <w:lang w:val="en-US" w:eastAsia="ru-RU"/>
        </w:rPr>
        <w:t>3.</w:t>
      </w:r>
      <w:r w:rsidR="00A236F4" w:rsidRPr="00726828">
        <w:rPr>
          <w:sz w:val="24"/>
          <w:szCs w:val="24"/>
          <w:lang w:val="en-US" w:eastAsia="ru-RU"/>
        </w:rPr>
        <w:t xml:space="preserve"> </w:t>
      </w:r>
      <w:r w:rsidR="002D1BAA" w:rsidRPr="0064693C">
        <w:rPr>
          <w:sz w:val="24"/>
          <w:szCs w:val="24"/>
          <w:lang w:val="en-US" w:eastAsia="ru-RU"/>
        </w:rPr>
        <w:t>The cost of investment assets in 201</w:t>
      </w:r>
      <w:r w:rsidR="002D1BAA">
        <w:rPr>
          <w:sz w:val="24"/>
          <w:szCs w:val="24"/>
          <w:lang w:val="en-US" w:eastAsia="ru-RU"/>
        </w:rPr>
        <w:t>4</w:t>
      </w:r>
      <w:r w:rsidR="002D1BAA" w:rsidRPr="0064693C">
        <w:rPr>
          <w:sz w:val="24"/>
          <w:szCs w:val="24"/>
          <w:lang w:val="en-US" w:eastAsia="ru-RU"/>
        </w:rPr>
        <w:t xml:space="preserve"> included interest payable to the lender (creditor) in the amount of </w:t>
      </w:r>
      <w:r w:rsidR="00C95318" w:rsidRPr="002D1BAA">
        <w:rPr>
          <w:sz w:val="24"/>
          <w:szCs w:val="24"/>
          <w:lang w:val="en-US" w:eastAsia="ru-RU"/>
        </w:rPr>
        <w:t>225 97</w:t>
      </w:r>
      <w:r w:rsidR="00433264" w:rsidRPr="002D1BAA">
        <w:rPr>
          <w:sz w:val="24"/>
          <w:szCs w:val="24"/>
          <w:lang w:val="en-US" w:eastAsia="ru-RU"/>
        </w:rPr>
        <w:t>5</w:t>
      </w:r>
      <w:r w:rsidR="00C95318" w:rsidRPr="002D1BAA">
        <w:rPr>
          <w:sz w:val="24"/>
          <w:szCs w:val="24"/>
          <w:lang w:val="en-US" w:eastAsia="ru-RU"/>
        </w:rPr>
        <w:t xml:space="preserve"> </w:t>
      </w:r>
      <w:proofErr w:type="spellStart"/>
      <w:r w:rsidR="008F47BD" w:rsidRPr="002D1BAA">
        <w:rPr>
          <w:sz w:val="24"/>
          <w:szCs w:val="24"/>
          <w:lang w:val="en-US" w:eastAsia="ru-RU"/>
        </w:rPr>
        <w:t>thous</w:t>
      </w:r>
      <w:proofErr w:type="spellEnd"/>
      <w:r w:rsidR="008F47BD" w:rsidRPr="002D1BAA">
        <w:rPr>
          <w:sz w:val="24"/>
          <w:szCs w:val="24"/>
          <w:lang w:val="en-US" w:eastAsia="ru-RU"/>
        </w:rPr>
        <w:t>. RUB</w:t>
      </w:r>
      <w:r w:rsidR="002D1BAA">
        <w:rPr>
          <w:sz w:val="24"/>
          <w:szCs w:val="24"/>
          <w:lang w:val="en-US" w:eastAsia="ru-RU"/>
        </w:rPr>
        <w:t>.</w:t>
      </w:r>
    </w:p>
    <w:p w:rsidR="00A469B5" w:rsidRPr="002D1BAA" w:rsidRDefault="00A469B5" w:rsidP="004034FB">
      <w:pPr>
        <w:jc w:val="both"/>
        <w:rPr>
          <w:sz w:val="24"/>
          <w:szCs w:val="24"/>
          <w:lang w:val="en-US" w:eastAsia="ru-RU"/>
        </w:rPr>
      </w:pPr>
    </w:p>
    <w:p w:rsidR="00B253C7" w:rsidRPr="00726828" w:rsidRDefault="00B253C7" w:rsidP="003507DA">
      <w:pPr>
        <w:ind w:firstLine="720"/>
        <w:jc w:val="both"/>
        <w:rPr>
          <w:sz w:val="24"/>
          <w:szCs w:val="24"/>
          <w:lang w:val="en-US" w:eastAsia="ru-RU"/>
        </w:rPr>
      </w:pPr>
      <w:r w:rsidRPr="00726828">
        <w:rPr>
          <w:sz w:val="24"/>
          <w:szCs w:val="24"/>
          <w:lang w:val="en-US" w:eastAsia="ru-RU"/>
        </w:rPr>
        <w:t>3.6.4</w:t>
      </w:r>
      <w:proofErr w:type="gramStart"/>
      <w:r w:rsidRPr="00726828">
        <w:rPr>
          <w:sz w:val="24"/>
          <w:szCs w:val="24"/>
          <w:lang w:val="en-US" w:eastAsia="ru-RU"/>
        </w:rPr>
        <w:t xml:space="preserve">.  </w:t>
      </w:r>
      <w:r w:rsidR="00763D71">
        <w:rPr>
          <w:sz w:val="24"/>
          <w:szCs w:val="24"/>
          <w:lang w:val="en-US" w:eastAsia="ru-RU"/>
        </w:rPr>
        <w:t>S</w:t>
      </w:r>
      <w:r w:rsidR="00763D71" w:rsidRPr="00763D71">
        <w:rPr>
          <w:sz w:val="24"/>
          <w:szCs w:val="24"/>
          <w:lang w:val="en-US" w:eastAsia="ru-RU"/>
        </w:rPr>
        <w:t>hort</w:t>
      </w:r>
      <w:proofErr w:type="gramEnd"/>
      <w:r w:rsidR="00763D71" w:rsidRPr="00763D71">
        <w:rPr>
          <w:sz w:val="24"/>
          <w:szCs w:val="24"/>
          <w:lang w:val="en-US" w:eastAsia="ru-RU"/>
        </w:rPr>
        <w:t>-term loans includ</w:t>
      </w:r>
      <w:r w:rsidR="00763D71">
        <w:rPr>
          <w:sz w:val="24"/>
          <w:szCs w:val="24"/>
          <w:lang w:val="en-US" w:eastAsia="ru-RU"/>
        </w:rPr>
        <w:t xml:space="preserve">e </w:t>
      </w:r>
      <w:r w:rsidR="00763D71" w:rsidRPr="00763D71">
        <w:rPr>
          <w:sz w:val="24"/>
          <w:szCs w:val="24"/>
          <w:lang w:val="en-US" w:eastAsia="ru-RU"/>
        </w:rPr>
        <w:t xml:space="preserve">bonded loans in the amount of 4 000 </w:t>
      </w:r>
      <w:proofErr w:type="spellStart"/>
      <w:r w:rsidR="00763D71" w:rsidRPr="00763D71">
        <w:rPr>
          <w:sz w:val="24"/>
          <w:szCs w:val="24"/>
          <w:lang w:val="en-US" w:eastAsia="ru-RU"/>
        </w:rPr>
        <w:t>000</w:t>
      </w:r>
      <w:proofErr w:type="spellEnd"/>
      <w:r w:rsidR="00763D71" w:rsidRPr="00763D71">
        <w:rPr>
          <w:sz w:val="24"/>
          <w:szCs w:val="24"/>
          <w:lang w:val="en-US" w:eastAsia="ru-RU"/>
        </w:rPr>
        <w:t xml:space="preserve"> </w:t>
      </w:r>
      <w:proofErr w:type="spellStart"/>
      <w:r w:rsidR="00763D71" w:rsidRPr="00763D71">
        <w:rPr>
          <w:sz w:val="24"/>
          <w:szCs w:val="24"/>
          <w:lang w:val="en-US" w:eastAsia="ru-RU"/>
        </w:rPr>
        <w:t>thous</w:t>
      </w:r>
      <w:proofErr w:type="spellEnd"/>
      <w:r w:rsidR="00763D71" w:rsidRPr="00763D71">
        <w:rPr>
          <w:sz w:val="24"/>
          <w:szCs w:val="24"/>
          <w:lang w:val="en-US" w:eastAsia="ru-RU"/>
        </w:rPr>
        <w:t xml:space="preserve">. RUB, which was </w:t>
      </w:r>
      <w:r w:rsidR="00763D71">
        <w:rPr>
          <w:sz w:val="24"/>
          <w:szCs w:val="24"/>
          <w:lang w:val="en-US" w:eastAsia="ru-RU"/>
        </w:rPr>
        <w:t>made</w:t>
      </w:r>
      <w:r w:rsidR="00763D71" w:rsidRPr="00763D71">
        <w:rPr>
          <w:sz w:val="24"/>
          <w:szCs w:val="24"/>
          <w:lang w:val="en-US" w:eastAsia="ru-RU"/>
        </w:rPr>
        <w:t xml:space="preserve"> by the Company in 2012. </w:t>
      </w:r>
      <w:r w:rsidR="00763D71">
        <w:rPr>
          <w:sz w:val="24"/>
          <w:szCs w:val="24"/>
          <w:lang w:val="en-US" w:eastAsia="ru-RU"/>
        </w:rPr>
        <w:t>It m</w:t>
      </w:r>
      <w:r w:rsidR="00763D71" w:rsidRPr="00763D71">
        <w:rPr>
          <w:sz w:val="24"/>
          <w:szCs w:val="24"/>
          <w:lang w:val="en-US" w:eastAsia="ru-RU"/>
        </w:rPr>
        <w:t>atures in 2015</w:t>
      </w:r>
      <w:r w:rsidRPr="00726828">
        <w:rPr>
          <w:sz w:val="24"/>
          <w:szCs w:val="24"/>
          <w:lang w:val="en-US" w:eastAsia="ru-RU"/>
        </w:rPr>
        <w:t xml:space="preserve">.  </w:t>
      </w:r>
    </w:p>
    <w:p w:rsidR="00325C51" w:rsidRPr="00726828" w:rsidRDefault="00325C51" w:rsidP="004034FB">
      <w:pPr>
        <w:jc w:val="both"/>
        <w:rPr>
          <w:sz w:val="24"/>
          <w:szCs w:val="24"/>
          <w:lang w:val="en-US" w:eastAsia="ru-RU"/>
        </w:rPr>
      </w:pPr>
    </w:p>
    <w:p w:rsidR="008041DF" w:rsidRPr="00726828" w:rsidRDefault="008041DF" w:rsidP="004034FB">
      <w:pPr>
        <w:jc w:val="both"/>
        <w:rPr>
          <w:sz w:val="24"/>
          <w:szCs w:val="24"/>
          <w:lang w:val="en-US" w:eastAsia="ru-RU"/>
        </w:rPr>
      </w:pPr>
    </w:p>
    <w:p w:rsidR="00A236F4" w:rsidRPr="00C339C1" w:rsidRDefault="00A236F4" w:rsidP="00E37AB5">
      <w:pPr>
        <w:pStyle w:val="8"/>
        <w:numPr>
          <w:ilvl w:val="1"/>
          <w:numId w:val="7"/>
        </w:numPr>
      </w:pPr>
      <w:r w:rsidRPr="00726828">
        <w:rPr>
          <w:lang w:val="en-US"/>
        </w:rPr>
        <w:t xml:space="preserve"> </w:t>
      </w:r>
      <w:bookmarkStart w:id="12" w:name="_Toc381199334"/>
      <w:r w:rsidR="00430772" w:rsidRPr="00726828">
        <w:rPr>
          <w:lang w:val="en-US"/>
        </w:rPr>
        <w:t xml:space="preserve">        </w:t>
      </w:r>
      <w:bookmarkEnd w:id="12"/>
      <w:proofErr w:type="spellStart"/>
      <w:r w:rsidR="003E41E8" w:rsidRPr="0064693C">
        <w:t>Information</w:t>
      </w:r>
      <w:proofErr w:type="spellEnd"/>
      <w:r w:rsidR="003E41E8" w:rsidRPr="0064693C">
        <w:t xml:space="preserve"> </w:t>
      </w:r>
      <w:proofErr w:type="spellStart"/>
      <w:r w:rsidR="003E41E8" w:rsidRPr="0064693C">
        <w:t>on</w:t>
      </w:r>
      <w:proofErr w:type="spellEnd"/>
      <w:r w:rsidR="003E41E8" w:rsidRPr="0064693C">
        <w:t xml:space="preserve"> </w:t>
      </w:r>
      <w:proofErr w:type="spellStart"/>
      <w:r w:rsidR="003E41E8" w:rsidRPr="0064693C">
        <w:t>financial</w:t>
      </w:r>
      <w:proofErr w:type="spellEnd"/>
      <w:r w:rsidR="003E41E8" w:rsidRPr="0064693C">
        <w:t xml:space="preserve"> </w:t>
      </w:r>
      <w:proofErr w:type="spellStart"/>
      <w:r w:rsidR="003E41E8" w:rsidRPr="0064693C">
        <w:t>investments</w:t>
      </w:r>
      <w:proofErr w:type="spellEnd"/>
    </w:p>
    <w:p w:rsidR="00A236F4" w:rsidRPr="00C339C1" w:rsidRDefault="00A236F4" w:rsidP="00A236F4">
      <w:pPr>
        <w:ind w:firstLine="709"/>
        <w:jc w:val="both"/>
        <w:rPr>
          <w:b/>
          <w:sz w:val="24"/>
          <w:szCs w:val="24"/>
          <w:lang w:val="ru-RU"/>
        </w:rPr>
      </w:pPr>
    </w:p>
    <w:p w:rsidR="00A236F4" w:rsidRPr="003E41E8" w:rsidRDefault="006E303A" w:rsidP="004034FB">
      <w:pPr>
        <w:ind w:firstLine="709"/>
        <w:jc w:val="both"/>
        <w:rPr>
          <w:sz w:val="24"/>
          <w:szCs w:val="24"/>
          <w:lang w:val="en-US" w:eastAsia="ru-RU"/>
        </w:rPr>
      </w:pPr>
      <w:r w:rsidRPr="00726828">
        <w:rPr>
          <w:sz w:val="24"/>
          <w:szCs w:val="24"/>
          <w:lang w:val="en-US"/>
        </w:rPr>
        <w:t>3</w:t>
      </w:r>
      <w:r w:rsidR="00A236F4" w:rsidRPr="00726828">
        <w:rPr>
          <w:sz w:val="24"/>
          <w:szCs w:val="24"/>
          <w:lang w:val="en-US"/>
        </w:rPr>
        <w:t>.</w:t>
      </w:r>
      <w:r w:rsidRPr="00726828">
        <w:rPr>
          <w:sz w:val="24"/>
          <w:szCs w:val="24"/>
          <w:lang w:val="en-US"/>
        </w:rPr>
        <w:t>7.</w:t>
      </w:r>
      <w:r w:rsidR="00A236F4" w:rsidRPr="00726828">
        <w:rPr>
          <w:sz w:val="24"/>
          <w:szCs w:val="24"/>
          <w:lang w:val="en-US"/>
        </w:rPr>
        <w:t xml:space="preserve">1. </w:t>
      </w:r>
      <w:r w:rsidR="00A236F4" w:rsidRPr="00726828">
        <w:rPr>
          <w:sz w:val="24"/>
          <w:szCs w:val="24"/>
          <w:lang w:val="en-US" w:eastAsia="ru-RU"/>
        </w:rPr>
        <w:t xml:space="preserve"> </w:t>
      </w:r>
      <w:r w:rsidR="003E41E8" w:rsidRPr="0064693C">
        <w:rPr>
          <w:sz w:val="24"/>
          <w:szCs w:val="24"/>
          <w:lang w:val="en-US" w:eastAsia="ru-RU"/>
        </w:rPr>
        <w:t xml:space="preserve">Financial investments are included in the explanatory note to the accounting balance sheet and the profit and loss statement in table  </w:t>
      </w:r>
      <w:r w:rsidR="00A236F4" w:rsidRPr="003E41E8">
        <w:rPr>
          <w:sz w:val="24"/>
          <w:szCs w:val="24"/>
          <w:lang w:val="en-US" w:eastAsia="ru-RU"/>
        </w:rPr>
        <w:t>5.4.1(1), 5.4.1 (2), 5.4.2</w:t>
      </w:r>
      <w:r w:rsidR="00FE7631" w:rsidRPr="003E41E8">
        <w:rPr>
          <w:sz w:val="24"/>
          <w:szCs w:val="24"/>
          <w:lang w:val="en-US" w:eastAsia="ru-RU"/>
        </w:rPr>
        <w:t>, 5.4.3.</w:t>
      </w:r>
    </w:p>
    <w:p w:rsidR="00A236F4" w:rsidRPr="003E41E8" w:rsidRDefault="00A236F4" w:rsidP="00A236F4">
      <w:pPr>
        <w:ind w:firstLine="709"/>
        <w:rPr>
          <w:sz w:val="24"/>
          <w:szCs w:val="24"/>
          <w:lang w:val="en-US" w:eastAsia="ru-RU"/>
        </w:rPr>
      </w:pPr>
    </w:p>
    <w:p w:rsidR="00A236F4" w:rsidRPr="003E41E8" w:rsidRDefault="003E41E8" w:rsidP="00A236F4">
      <w:pPr>
        <w:ind w:firstLine="709"/>
        <w:rPr>
          <w:sz w:val="24"/>
          <w:szCs w:val="24"/>
          <w:lang w:val="en-US" w:eastAsia="ru-RU"/>
        </w:rPr>
      </w:pPr>
      <w:r w:rsidRPr="0064693C">
        <w:rPr>
          <w:sz w:val="24"/>
          <w:szCs w:val="24"/>
          <w:lang w:val="en-US" w:eastAsia="ru-RU"/>
        </w:rPr>
        <w:t>IDGC of Centre does not have any encumbered securities and other financial investments</w:t>
      </w:r>
      <w:r w:rsidR="00A236F4" w:rsidRPr="003E41E8">
        <w:rPr>
          <w:sz w:val="24"/>
          <w:szCs w:val="24"/>
          <w:lang w:val="en-US" w:eastAsia="ru-RU"/>
        </w:rPr>
        <w:t>.</w:t>
      </w:r>
    </w:p>
    <w:p w:rsidR="00D233EF" w:rsidRPr="003E41E8" w:rsidRDefault="00D233EF" w:rsidP="00A236F4">
      <w:pPr>
        <w:ind w:firstLine="709"/>
        <w:rPr>
          <w:sz w:val="24"/>
          <w:szCs w:val="24"/>
          <w:lang w:val="en-US" w:eastAsia="ru-RU"/>
        </w:rPr>
      </w:pPr>
    </w:p>
    <w:p w:rsidR="00D233EF" w:rsidRPr="00D7783A" w:rsidRDefault="00D233EF" w:rsidP="00D233EF">
      <w:pPr>
        <w:ind w:firstLine="567"/>
        <w:jc w:val="both"/>
        <w:rPr>
          <w:sz w:val="24"/>
          <w:szCs w:val="24"/>
          <w:lang w:val="en-US" w:eastAsia="ru-RU"/>
        </w:rPr>
      </w:pPr>
      <w:r w:rsidRPr="003E41E8">
        <w:rPr>
          <w:sz w:val="24"/>
          <w:szCs w:val="24"/>
          <w:lang w:val="en-US" w:eastAsia="ru-RU"/>
        </w:rPr>
        <w:t xml:space="preserve">  </w:t>
      </w:r>
      <w:r w:rsidR="0055166C" w:rsidRPr="00726828">
        <w:rPr>
          <w:sz w:val="24"/>
          <w:szCs w:val="24"/>
          <w:lang w:val="en-US" w:eastAsia="ru-RU"/>
        </w:rPr>
        <w:t xml:space="preserve">3.7.2. </w:t>
      </w:r>
      <w:r w:rsidR="00D7783A" w:rsidRPr="00914983">
        <w:rPr>
          <w:sz w:val="24"/>
          <w:szCs w:val="24"/>
          <w:lang w:val="en-US" w:eastAsia="ru-RU"/>
        </w:rPr>
        <w:t>IDGC of Centre is the sole shareholder</w:t>
      </w:r>
      <w:r w:rsidR="00D7783A">
        <w:rPr>
          <w:sz w:val="24"/>
          <w:szCs w:val="24"/>
          <w:lang w:val="en-US" w:eastAsia="ru-RU"/>
        </w:rPr>
        <w:t xml:space="preserve"> of </w:t>
      </w:r>
      <w:r w:rsidR="00D7783A" w:rsidRPr="00914983">
        <w:rPr>
          <w:sz w:val="24"/>
          <w:szCs w:val="24"/>
          <w:lang w:val="en-US" w:eastAsia="ru-RU"/>
        </w:rPr>
        <w:t>JSC «</w:t>
      </w:r>
      <w:proofErr w:type="spellStart"/>
      <w:r w:rsidR="00D7783A" w:rsidRPr="00914983">
        <w:rPr>
          <w:sz w:val="24"/>
          <w:szCs w:val="24"/>
          <w:lang w:val="en-US" w:eastAsia="ru-RU"/>
        </w:rPr>
        <w:t>Yargorelectroset</w:t>
      </w:r>
      <w:proofErr w:type="spellEnd"/>
      <w:r w:rsidR="00D7783A" w:rsidRPr="00914983">
        <w:rPr>
          <w:sz w:val="24"/>
          <w:szCs w:val="24"/>
          <w:lang w:val="en-US" w:eastAsia="ru-RU"/>
        </w:rPr>
        <w:t>», owning 100% (one hundred percent) of the total issued voting shares of JSC «</w:t>
      </w:r>
      <w:proofErr w:type="spellStart"/>
      <w:r w:rsidR="00D7783A" w:rsidRPr="00914983">
        <w:rPr>
          <w:sz w:val="24"/>
          <w:szCs w:val="24"/>
          <w:lang w:val="en-US" w:eastAsia="ru-RU"/>
        </w:rPr>
        <w:t>Yargorelectroset</w:t>
      </w:r>
      <w:proofErr w:type="spellEnd"/>
      <w:r w:rsidR="00D7783A" w:rsidRPr="00914983">
        <w:rPr>
          <w:sz w:val="24"/>
          <w:szCs w:val="24"/>
          <w:lang w:val="en-US" w:eastAsia="ru-RU"/>
        </w:rPr>
        <w:t>»</w:t>
      </w:r>
      <w:r w:rsidRPr="00D7783A">
        <w:rPr>
          <w:sz w:val="24"/>
          <w:szCs w:val="24"/>
          <w:lang w:val="en-US" w:eastAsia="ru-RU"/>
        </w:rPr>
        <w:t>.</w:t>
      </w:r>
    </w:p>
    <w:p w:rsidR="00D233EF" w:rsidRPr="00D7783A" w:rsidRDefault="00D7783A" w:rsidP="00D233EF">
      <w:pPr>
        <w:tabs>
          <w:tab w:val="left" w:pos="1080"/>
        </w:tabs>
        <w:ind w:firstLine="567"/>
        <w:jc w:val="both"/>
        <w:outlineLvl w:val="0"/>
        <w:rPr>
          <w:sz w:val="24"/>
          <w:szCs w:val="24"/>
          <w:lang w:val="en-US" w:eastAsia="ru-RU"/>
        </w:rPr>
      </w:pPr>
      <w:r w:rsidRPr="00914983">
        <w:rPr>
          <w:sz w:val="24"/>
          <w:szCs w:val="24"/>
          <w:lang w:val="en-US" w:eastAsia="ru-RU"/>
        </w:rPr>
        <w:t>JSC «</w:t>
      </w:r>
      <w:proofErr w:type="spellStart"/>
      <w:r w:rsidRPr="00914983">
        <w:rPr>
          <w:sz w:val="24"/>
          <w:szCs w:val="24"/>
          <w:lang w:val="en-US" w:eastAsia="ru-RU"/>
        </w:rPr>
        <w:t>Yargorelectroset</w:t>
      </w:r>
      <w:proofErr w:type="spellEnd"/>
      <w:r w:rsidRPr="00914983">
        <w:rPr>
          <w:sz w:val="24"/>
          <w:szCs w:val="24"/>
          <w:lang w:val="en-US" w:eastAsia="ru-RU"/>
        </w:rPr>
        <w:t xml:space="preserve">» </w:t>
      </w:r>
      <w:r>
        <w:rPr>
          <w:sz w:val="24"/>
          <w:szCs w:val="24"/>
          <w:lang w:val="en-US" w:eastAsia="ru-RU"/>
        </w:rPr>
        <w:t>i</w:t>
      </w:r>
      <w:r w:rsidRPr="00914983">
        <w:rPr>
          <w:sz w:val="24"/>
          <w:szCs w:val="24"/>
          <w:lang w:val="en-US" w:eastAsia="ru-RU"/>
        </w:rPr>
        <w:t xml:space="preserve">s a natural monopoly in the provision of services for the transmission of electricity to consumers in </w:t>
      </w:r>
      <w:r>
        <w:rPr>
          <w:sz w:val="24"/>
          <w:szCs w:val="24"/>
          <w:lang w:val="en-US" w:eastAsia="ru-RU"/>
        </w:rPr>
        <w:t xml:space="preserve">the city of </w:t>
      </w:r>
      <w:r w:rsidRPr="00914983">
        <w:rPr>
          <w:sz w:val="24"/>
          <w:szCs w:val="24"/>
          <w:lang w:val="en-US" w:eastAsia="ru-RU"/>
        </w:rPr>
        <w:t xml:space="preserve">Yaroslavl, </w:t>
      </w:r>
      <w:r>
        <w:rPr>
          <w:sz w:val="24"/>
          <w:szCs w:val="24"/>
          <w:lang w:val="en-US" w:eastAsia="ru-RU"/>
        </w:rPr>
        <w:t xml:space="preserve">which </w:t>
      </w:r>
      <w:r w:rsidRPr="00914983">
        <w:rPr>
          <w:sz w:val="24"/>
          <w:szCs w:val="24"/>
          <w:lang w:val="en-US" w:eastAsia="ru-RU"/>
        </w:rPr>
        <w:t>serves 75% of consumers in Yaroslavl</w:t>
      </w:r>
      <w:r w:rsidR="00D233EF" w:rsidRPr="00D7783A">
        <w:rPr>
          <w:sz w:val="24"/>
          <w:szCs w:val="24"/>
          <w:lang w:val="en-US" w:eastAsia="ru-RU"/>
        </w:rPr>
        <w:t>.</w:t>
      </w:r>
    </w:p>
    <w:p w:rsidR="00D233EF" w:rsidRPr="00D7783A" w:rsidRDefault="00D7783A" w:rsidP="00D233EF">
      <w:pPr>
        <w:ind w:firstLine="567"/>
        <w:jc w:val="both"/>
        <w:rPr>
          <w:sz w:val="24"/>
          <w:szCs w:val="24"/>
          <w:lang w:val="en-US" w:eastAsia="ru-RU"/>
        </w:rPr>
      </w:pPr>
      <w:r>
        <w:rPr>
          <w:sz w:val="24"/>
          <w:szCs w:val="24"/>
          <w:lang w:val="en-US" w:eastAsia="ru-RU"/>
        </w:rPr>
        <w:t>According to the d</w:t>
      </w:r>
      <w:r w:rsidRPr="00914983">
        <w:rPr>
          <w:sz w:val="24"/>
          <w:szCs w:val="24"/>
          <w:lang w:val="en-US" w:eastAsia="ru-RU"/>
        </w:rPr>
        <w:t>ecision of the sole shareholder of JSC «</w:t>
      </w:r>
      <w:proofErr w:type="spellStart"/>
      <w:r w:rsidRPr="00914983">
        <w:rPr>
          <w:sz w:val="24"/>
          <w:szCs w:val="24"/>
          <w:lang w:val="en-US" w:eastAsia="ru-RU"/>
        </w:rPr>
        <w:t>Yargorelectroset</w:t>
      </w:r>
      <w:proofErr w:type="spellEnd"/>
      <w:r w:rsidRPr="00914983">
        <w:rPr>
          <w:sz w:val="24"/>
          <w:szCs w:val="24"/>
          <w:lang w:val="en-US" w:eastAsia="ru-RU"/>
        </w:rPr>
        <w:t xml:space="preserve">» - IDGC of Centre - from 09.23.2014, the decision on the </w:t>
      </w:r>
      <w:r>
        <w:rPr>
          <w:sz w:val="24"/>
          <w:szCs w:val="24"/>
          <w:lang w:val="en-US" w:eastAsia="ru-RU"/>
        </w:rPr>
        <w:t>wind-up</w:t>
      </w:r>
      <w:r w:rsidRPr="00914983">
        <w:rPr>
          <w:sz w:val="24"/>
          <w:szCs w:val="24"/>
          <w:lang w:val="en-US" w:eastAsia="ru-RU"/>
        </w:rPr>
        <w:t xml:space="preserve"> of JSC «</w:t>
      </w:r>
      <w:proofErr w:type="spellStart"/>
      <w:r w:rsidRPr="00914983">
        <w:rPr>
          <w:sz w:val="24"/>
          <w:szCs w:val="24"/>
          <w:lang w:val="en-US" w:eastAsia="ru-RU"/>
        </w:rPr>
        <w:t>Yargorelectroset</w:t>
      </w:r>
      <w:proofErr w:type="spellEnd"/>
      <w:r w:rsidRPr="00914983">
        <w:rPr>
          <w:sz w:val="24"/>
          <w:szCs w:val="24"/>
          <w:lang w:val="en-US" w:eastAsia="ru-RU"/>
        </w:rPr>
        <w:t>» voluntarily</w:t>
      </w:r>
      <w:r>
        <w:rPr>
          <w:sz w:val="24"/>
          <w:szCs w:val="24"/>
          <w:lang w:val="en-US" w:eastAsia="ru-RU"/>
        </w:rPr>
        <w:t xml:space="preserve"> was taken</w:t>
      </w:r>
      <w:r w:rsidR="00D233EF" w:rsidRPr="00D7783A">
        <w:rPr>
          <w:sz w:val="24"/>
          <w:szCs w:val="24"/>
          <w:lang w:val="en-US" w:eastAsia="ru-RU"/>
        </w:rPr>
        <w:t>.</w:t>
      </w:r>
    </w:p>
    <w:p w:rsidR="0055166C" w:rsidRPr="00D7783A" w:rsidRDefault="00D233EF" w:rsidP="00D233EF">
      <w:pPr>
        <w:tabs>
          <w:tab w:val="left" w:pos="1080"/>
        </w:tabs>
        <w:ind w:firstLine="567"/>
        <w:jc w:val="both"/>
        <w:outlineLvl w:val="0"/>
        <w:rPr>
          <w:sz w:val="24"/>
          <w:szCs w:val="24"/>
          <w:lang w:val="en-US" w:eastAsia="ru-RU"/>
        </w:rPr>
      </w:pPr>
      <w:r w:rsidRPr="00D7783A">
        <w:rPr>
          <w:sz w:val="24"/>
          <w:szCs w:val="24"/>
          <w:lang w:val="en-US" w:eastAsia="ru-RU"/>
        </w:rPr>
        <w:t xml:space="preserve"> </w:t>
      </w:r>
      <w:r w:rsidR="00D7783A" w:rsidRPr="00914983">
        <w:rPr>
          <w:sz w:val="24"/>
          <w:szCs w:val="24"/>
          <w:lang w:val="en-US" w:eastAsia="ru-RU"/>
        </w:rPr>
        <w:t xml:space="preserve">In 2015 </w:t>
      </w:r>
      <w:r w:rsidR="00D7783A">
        <w:rPr>
          <w:sz w:val="24"/>
          <w:szCs w:val="24"/>
          <w:lang w:val="en-US" w:eastAsia="ru-RU"/>
        </w:rPr>
        <w:t xml:space="preserve">it is </w:t>
      </w:r>
      <w:r w:rsidR="00D7783A" w:rsidRPr="00914983">
        <w:rPr>
          <w:sz w:val="24"/>
          <w:szCs w:val="24"/>
          <w:lang w:val="en-US" w:eastAsia="ru-RU"/>
        </w:rPr>
        <w:t xml:space="preserve">planned </w:t>
      </w:r>
      <w:r w:rsidR="00D7783A">
        <w:rPr>
          <w:sz w:val="24"/>
          <w:szCs w:val="24"/>
          <w:lang w:val="en-US" w:eastAsia="ru-RU"/>
        </w:rPr>
        <w:t xml:space="preserve">to </w:t>
      </w:r>
      <w:r w:rsidR="00D7783A" w:rsidRPr="00914983">
        <w:rPr>
          <w:sz w:val="24"/>
          <w:szCs w:val="24"/>
          <w:lang w:val="en-US" w:eastAsia="ru-RU"/>
        </w:rPr>
        <w:t>transfer power grid facilities of JSC «</w:t>
      </w:r>
      <w:proofErr w:type="spellStart"/>
      <w:r w:rsidR="00D7783A" w:rsidRPr="00914983">
        <w:rPr>
          <w:sz w:val="24"/>
          <w:szCs w:val="24"/>
          <w:lang w:val="en-US" w:eastAsia="ru-RU"/>
        </w:rPr>
        <w:t>Yargorelectroset</w:t>
      </w:r>
      <w:proofErr w:type="spellEnd"/>
      <w:r w:rsidR="00D7783A" w:rsidRPr="00914983">
        <w:rPr>
          <w:sz w:val="24"/>
          <w:szCs w:val="24"/>
          <w:lang w:val="en-US" w:eastAsia="ru-RU"/>
        </w:rPr>
        <w:t xml:space="preserve">» involved in electric power transmission and in </w:t>
      </w:r>
      <w:r w:rsidR="00D7783A">
        <w:rPr>
          <w:sz w:val="24"/>
          <w:szCs w:val="24"/>
          <w:lang w:val="en-US" w:eastAsia="ru-RU"/>
        </w:rPr>
        <w:t xml:space="preserve">grid </w:t>
      </w:r>
      <w:r w:rsidR="00D7783A" w:rsidRPr="00914983">
        <w:rPr>
          <w:sz w:val="24"/>
          <w:szCs w:val="24"/>
          <w:lang w:val="en-US" w:eastAsia="ru-RU"/>
        </w:rPr>
        <w:t>connection activities, and property</w:t>
      </w:r>
      <w:r w:rsidR="00D7783A">
        <w:rPr>
          <w:sz w:val="24"/>
          <w:szCs w:val="24"/>
          <w:lang w:val="en-US" w:eastAsia="ru-RU"/>
        </w:rPr>
        <w:t xml:space="preserve"> that</w:t>
      </w:r>
      <w:r w:rsidR="00D7783A" w:rsidRPr="00914983">
        <w:rPr>
          <w:sz w:val="24"/>
          <w:szCs w:val="24"/>
          <w:lang w:val="en-US" w:eastAsia="ru-RU"/>
        </w:rPr>
        <w:t xml:space="preserve"> provides the </w:t>
      </w:r>
      <w:r w:rsidR="00D7783A">
        <w:rPr>
          <w:sz w:val="24"/>
          <w:szCs w:val="24"/>
          <w:lang w:val="en-US" w:eastAsia="ru-RU"/>
        </w:rPr>
        <w:t xml:space="preserve">performance of </w:t>
      </w:r>
      <w:r w:rsidR="00D7783A" w:rsidRPr="00914983">
        <w:rPr>
          <w:sz w:val="24"/>
          <w:szCs w:val="24"/>
          <w:lang w:val="en-US" w:eastAsia="ru-RU"/>
        </w:rPr>
        <w:t xml:space="preserve">functions of </w:t>
      </w:r>
      <w:r w:rsidR="00D7783A">
        <w:rPr>
          <w:sz w:val="24"/>
          <w:szCs w:val="24"/>
          <w:lang w:val="en-US" w:eastAsia="ru-RU"/>
        </w:rPr>
        <w:t xml:space="preserve">the </w:t>
      </w:r>
      <w:r w:rsidR="00D7783A" w:rsidRPr="00914983">
        <w:rPr>
          <w:sz w:val="24"/>
          <w:szCs w:val="24"/>
          <w:lang w:val="en-US" w:eastAsia="ru-RU"/>
        </w:rPr>
        <w:t xml:space="preserve">electric power transmission and </w:t>
      </w:r>
      <w:r w:rsidR="00D7783A">
        <w:rPr>
          <w:sz w:val="24"/>
          <w:szCs w:val="24"/>
          <w:lang w:val="en-US" w:eastAsia="ru-RU"/>
        </w:rPr>
        <w:t>grid</w:t>
      </w:r>
      <w:r w:rsidR="00D7783A" w:rsidRPr="00914983">
        <w:rPr>
          <w:sz w:val="24"/>
          <w:szCs w:val="24"/>
          <w:lang w:val="en-US" w:eastAsia="ru-RU"/>
        </w:rPr>
        <w:t xml:space="preserve"> connection</w:t>
      </w:r>
      <w:r w:rsidR="00D7783A">
        <w:rPr>
          <w:sz w:val="24"/>
          <w:szCs w:val="24"/>
          <w:lang w:val="en-US" w:eastAsia="ru-RU"/>
        </w:rPr>
        <w:t xml:space="preserve"> to</w:t>
      </w:r>
      <w:r w:rsidR="00D7783A" w:rsidRPr="00914983">
        <w:rPr>
          <w:sz w:val="24"/>
          <w:szCs w:val="24"/>
          <w:lang w:val="en-US" w:eastAsia="ru-RU"/>
        </w:rPr>
        <w:t xml:space="preserve"> the sole shareholder - IDGC of Centre</w:t>
      </w:r>
      <w:r w:rsidRPr="00D7783A">
        <w:rPr>
          <w:sz w:val="24"/>
          <w:szCs w:val="24"/>
          <w:lang w:val="en-US" w:eastAsia="ru-RU"/>
        </w:rPr>
        <w:t>.</w:t>
      </w:r>
    </w:p>
    <w:p w:rsidR="00BB78B3" w:rsidRPr="00D7783A" w:rsidRDefault="00BB78B3" w:rsidP="00D233EF">
      <w:pPr>
        <w:tabs>
          <w:tab w:val="left" w:pos="1080"/>
        </w:tabs>
        <w:ind w:firstLine="567"/>
        <w:jc w:val="both"/>
        <w:outlineLvl w:val="0"/>
        <w:rPr>
          <w:sz w:val="24"/>
          <w:szCs w:val="24"/>
          <w:lang w:val="en-US" w:eastAsia="ru-RU"/>
        </w:rPr>
      </w:pPr>
    </w:p>
    <w:p w:rsidR="008041DF" w:rsidRPr="00D7783A" w:rsidRDefault="008041DF" w:rsidP="00D233EF">
      <w:pPr>
        <w:tabs>
          <w:tab w:val="left" w:pos="1080"/>
        </w:tabs>
        <w:ind w:firstLine="567"/>
        <w:jc w:val="both"/>
        <w:outlineLvl w:val="0"/>
        <w:rPr>
          <w:sz w:val="24"/>
          <w:szCs w:val="24"/>
          <w:lang w:val="en-US" w:eastAsia="ru-RU"/>
        </w:rPr>
      </w:pPr>
    </w:p>
    <w:p w:rsidR="00FF147D" w:rsidRPr="00C339C1" w:rsidRDefault="007E550F" w:rsidP="00E37AB5">
      <w:pPr>
        <w:pStyle w:val="8"/>
        <w:numPr>
          <w:ilvl w:val="1"/>
          <w:numId w:val="7"/>
        </w:numPr>
      </w:pPr>
      <w:r w:rsidRPr="00D7783A">
        <w:rPr>
          <w:lang w:val="en-US"/>
        </w:rPr>
        <w:t xml:space="preserve"> </w:t>
      </w:r>
      <w:bookmarkStart w:id="13" w:name="_Toc381199335"/>
      <w:r w:rsidR="00430772" w:rsidRPr="00D7783A">
        <w:rPr>
          <w:lang w:val="en-US"/>
        </w:rPr>
        <w:t xml:space="preserve">        </w:t>
      </w:r>
      <w:bookmarkEnd w:id="13"/>
      <w:proofErr w:type="spellStart"/>
      <w:r w:rsidR="00A01B03" w:rsidRPr="0064693C">
        <w:t>Information</w:t>
      </w:r>
      <w:proofErr w:type="spellEnd"/>
      <w:r w:rsidR="00A01B03" w:rsidRPr="0064693C">
        <w:t xml:space="preserve"> </w:t>
      </w:r>
      <w:proofErr w:type="spellStart"/>
      <w:r w:rsidR="00A01B03" w:rsidRPr="0064693C">
        <w:t>on</w:t>
      </w:r>
      <w:proofErr w:type="spellEnd"/>
      <w:r w:rsidR="00A01B03" w:rsidRPr="0064693C">
        <w:t xml:space="preserve"> </w:t>
      </w:r>
      <w:proofErr w:type="spellStart"/>
      <w:r w:rsidR="00A01B03" w:rsidRPr="0064693C">
        <w:t>contingencies</w:t>
      </w:r>
      <w:proofErr w:type="spellEnd"/>
    </w:p>
    <w:p w:rsidR="004078C7" w:rsidRPr="00C339C1" w:rsidRDefault="004078C7" w:rsidP="00DF723E">
      <w:pPr>
        <w:pStyle w:val="a0"/>
        <w:ind w:firstLine="709"/>
        <w:rPr>
          <w:b/>
          <w:szCs w:val="24"/>
        </w:rPr>
      </w:pPr>
    </w:p>
    <w:p w:rsidR="00433264" w:rsidRPr="00982747" w:rsidRDefault="00982747" w:rsidP="00E37AB5">
      <w:pPr>
        <w:pStyle w:val="ab"/>
        <w:numPr>
          <w:ilvl w:val="2"/>
          <w:numId w:val="7"/>
        </w:numPr>
        <w:ind w:left="0" w:firstLine="720"/>
        <w:jc w:val="both"/>
        <w:rPr>
          <w:sz w:val="24"/>
          <w:szCs w:val="24"/>
          <w:lang w:val="en-US" w:eastAsia="ru-RU"/>
        </w:rPr>
      </w:pPr>
      <w:r w:rsidRPr="0064693C">
        <w:rPr>
          <w:sz w:val="24"/>
          <w:szCs w:val="24"/>
          <w:lang w:val="en-US" w:eastAsia="ru-RU"/>
        </w:rPr>
        <w:t>Contingencies of the Company are represented as the provision for future expenses, allowance for future holiday payment and allowance for the payment of remuneration for the year</w:t>
      </w:r>
      <w:r w:rsidR="00EA15E7" w:rsidRPr="00982747">
        <w:rPr>
          <w:sz w:val="24"/>
          <w:szCs w:val="24"/>
          <w:lang w:val="en-US" w:eastAsia="ru-RU"/>
        </w:rPr>
        <w:t xml:space="preserve">, </w:t>
      </w:r>
      <w:r>
        <w:rPr>
          <w:sz w:val="24"/>
          <w:szCs w:val="24"/>
          <w:lang w:val="en-US" w:eastAsia="ru-RU"/>
        </w:rPr>
        <w:t xml:space="preserve">and </w:t>
      </w:r>
      <w:r w:rsidRPr="0064693C">
        <w:rPr>
          <w:sz w:val="24"/>
          <w:szCs w:val="24"/>
          <w:lang w:val="en-US" w:eastAsia="ru-RU"/>
        </w:rPr>
        <w:t>allowance for litigation</w:t>
      </w:r>
      <w:r w:rsidR="00433264" w:rsidRPr="00982747">
        <w:rPr>
          <w:sz w:val="24"/>
          <w:szCs w:val="24"/>
          <w:lang w:val="en-US" w:eastAsia="ru-RU"/>
        </w:rPr>
        <w:t xml:space="preserve">. </w:t>
      </w:r>
    </w:p>
    <w:p w:rsidR="00433264" w:rsidRPr="00982747" w:rsidRDefault="00433264" w:rsidP="00433264">
      <w:pPr>
        <w:ind w:firstLine="720"/>
        <w:jc w:val="both"/>
        <w:rPr>
          <w:sz w:val="24"/>
          <w:szCs w:val="24"/>
          <w:lang w:val="en-US" w:eastAsia="ru-RU"/>
        </w:rPr>
      </w:pPr>
    </w:p>
    <w:p w:rsidR="00433264" w:rsidRPr="00982747" w:rsidRDefault="00982747" w:rsidP="00433264">
      <w:pPr>
        <w:ind w:firstLine="709"/>
        <w:jc w:val="both"/>
        <w:rPr>
          <w:sz w:val="24"/>
          <w:szCs w:val="24"/>
          <w:lang w:val="en-US" w:eastAsia="ru-RU"/>
        </w:rPr>
      </w:pPr>
      <w:r w:rsidRPr="0064693C">
        <w:rPr>
          <w:sz w:val="24"/>
          <w:szCs w:val="24"/>
          <w:lang w:val="en-US" w:eastAsia="ru-RU"/>
        </w:rPr>
        <w:t xml:space="preserve">Sum of contingencies, recognized in the reporting period, is recorded in the explanatory note to the accounting balance sheet and the profit and loss statement in table </w:t>
      </w:r>
      <w:r w:rsidR="00433264" w:rsidRPr="00982747">
        <w:rPr>
          <w:sz w:val="24"/>
          <w:szCs w:val="24"/>
          <w:lang w:val="en-US" w:eastAsia="ru-RU"/>
        </w:rPr>
        <w:t>5.7.1.</w:t>
      </w:r>
    </w:p>
    <w:p w:rsidR="00433264" w:rsidRPr="00982747" w:rsidRDefault="00433264" w:rsidP="00433264">
      <w:pPr>
        <w:ind w:firstLine="720"/>
        <w:jc w:val="both"/>
        <w:rPr>
          <w:sz w:val="24"/>
          <w:szCs w:val="24"/>
          <w:lang w:val="en-US" w:eastAsia="ru-RU"/>
        </w:rPr>
      </w:pPr>
    </w:p>
    <w:p w:rsidR="00433264" w:rsidRPr="00BD3379" w:rsidRDefault="00BD3379" w:rsidP="00433264">
      <w:pPr>
        <w:ind w:firstLine="720"/>
        <w:jc w:val="both"/>
        <w:rPr>
          <w:sz w:val="24"/>
          <w:szCs w:val="24"/>
          <w:lang w:val="en-US" w:eastAsia="ru-RU"/>
        </w:rPr>
      </w:pPr>
      <w:r w:rsidRPr="0064693C">
        <w:rPr>
          <w:sz w:val="24"/>
          <w:szCs w:val="24"/>
          <w:lang w:val="en-US" w:eastAsia="ru-RU"/>
        </w:rPr>
        <w:t xml:space="preserve">In the course of its operational activities the Company is a party to litigation. For abortive trials where the Company acts as a defendant with a low degree of foreclosure in </w:t>
      </w:r>
      <w:proofErr w:type="spellStart"/>
      <w:r w:rsidRPr="0064693C">
        <w:rPr>
          <w:sz w:val="24"/>
          <w:szCs w:val="24"/>
          <w:lang w:val="en-US" w:eastAsia="ru-RU"/>
        </w:rPr>
        <w:t>favour</w:t>
      </w:r>
      <w:proofErr w:type="spellEnd"/>
      <w:r w:rsidRPr="0064693C">
        <w:rPr>
          <w:sz w:val="24"/>
          <w:szCs w:val="24"/>
          <w:lang w:val="en-US" w:eastAsia="ru-RU"/>
        </w:rPr>
        <w:t xml:space="preserve"> of the Company a valuation allowance for litigation was created</w:t>
      </w:r>
      <w:r w:rsidR="00433264" w:rsidRPr="00BD3379">
        <w:rPr>
          <w:sz w:val="24"/>
          <w:szCs w:val="24"/>
          <w:lang w:val="en-US" w:eastAsia="ru-RU"/>
        </w:rPr>
        <w:t>.</w:t>
      </w:r>
    </w:p>
    <w:p w:rsidR="00433264" w:rsidRPr="00BD3379" w:rsidRDefault="00BD3379" w:rsidP="00433264">
      <w:pPr>
        <w:ind w:firstLine="709"/>
        <w:jc w:val="both"/>
        <w:rPr>
          <w:sz w:val="24"/>
          <w:szCs w:val="24"/>
          <w:lang w:val="en-US" w:eastAsia="ru-RU"/>
        </w:rPr>
      </w:pPr>
      <w:r w:rsidRPr="0064693C">
        <w:rPr>
          <w:sz w:val="24"/>
          <w:szCs w:val="24"/>
          <w:lang w:val="en-US" w:eastAsia="ru-RU"/>
        </w:rPr>
        <w:t>Estimated date of execution of contingencies for abortive trials is less than 12 months and estimated liabilities for litigation are recorded in the balance sheet of IDGC of Centre as a current liability</w:t>
      </w:r>
      <w:r w:rsidR="00433264" w:rsidRPr="00BD3379">
        <w:rPr>
          <w:sz w:val="24"/>
          <w:szCs w:val="24"/>
          <w:lang w:val="en-US" w:eastAsia="ru-RU"/>
        </w:rPr>
        <w:t>.</w:t>
      </w:r>
    </w:p>
    <w:p w:rsidR="00EA15E7" w:rsidRPr="00BD3379" w:rsidRDefault="00EA15E7" w:rsidP="00433264">
      <w:pPr>
        <w:ind w:firstLine="709"/>
        <w:jc w:val="both"/>
        <w:rPr>
          <w:sz w:val="24"/>
          <w:szCs w:val="24"/>
          <w:lang w:val="en-US"/>
        </w:rPr>
      </w:pPr>
    </w:p>
    <w:p w:rsidR="00DC28C3" w:rsidRPr="00DD02EB" w:rsidRDefault="001264BF" w:rsidP="00433264">
      <w:pPr>
        <w:ind w:firstLine="709"/>
        <w:jc w:val="both"/>
        <w:rPr>
          <w:sz w:val="24"/>
          <w:szCs w:val="24"/>
          <w:lang w:val="en-US"/>
        </w:rPr>
      </w:pPr>
      <w:r w:rsidRPr="0064693C">
        <w:rPr>
          <w:sz w:val="24"/>
          <w:szCs w:val="24"/>
          <w:lang w:val="en-US" w:eastAsia="ru-RU"/>
        </w:rPr>
        <w:t>As</w:t>
      </w:r>
      <w:r w:rsidRPr="00DD02EB">
        <w:rPr>
          <w:sz w:val="24"/>
          <w:szCs w:val="24"/>
          <w:lang w:val="en-US" w:eastAsia="ru-RU"/>
        </w:rPr>
        <w:t xml:space="preserve"> </w:t>
      </w:r>
      <w:r w:rsidRPr="0064693C">
        <w:rPr>
          <w:sz w:val="24"/>
          <w:szCs w:val="24"/>
          <w:lang w:val="en-US" w:eastAsia="ru-RU"/>
        </w:rPr>
        <w:t>at</w:t>
      </w:r>
      <w:r w:rsidRPr="00DD02EB">
        <w:rPr>
          <w:sz w:val="24"/>
          <w:szCs w:val="24"/>
          <w:lang w:val="en-US" w:eastAsia="ru-RU"/>
        </w:rPr>
        <w:t xml:space="preserve"> </w:t>
      </w:r>
      <w:r w:rsidR="00414ECB" w:rsidRPr="00DD02EB">
        <w:rPr>
          <w:sz w:val="24"/>
          <w:szCs w:val="24"/>
          <w:lang w:val="en-US"/>
        </w:rPr>
        <w:t xml:space="preserve">31 </w:t>
      </w:r>
      <w:r>
        <w:rPr>
          <w:sz w:val="24"/>
          <w:szCs w:val="24"/>
          <w:lang w:val="en-US"/>
        </w:rPr>
        <w:t>December</w:t>
      </w:r>
      <w:r w:rsidR="00414ECB" w:rsidRPr="00DD02EB">
        <w:rPr>
          <w:sz w:val="24"/>
          <w:szCs w:val="24"/>
          <w:lang w:val="en-US"/>
        </w:rPr>
        <w:t xml:space="preserve"> 2014 </w:t>
      </w:r>
      <w:r w:rsidR="00DD02EB">
        <w:rPr>
          <w:sz w:val="24"/>
          <w:szCs w:val="24"/>
          <w:lang w:val="en-US" w:eastAsia="ru-RU"/>
        </w:rPr>
        <w:t>t</w:t>
      </w:r>
      <w:r w:rsidR="00DD02EB" w:rsidRPr="005B3A4B">
        <w:rPr>
          <w:sz w:val="24"/>
          <w:szCs w:val="24"/>
          <w:lang w:val="en-US" w:eastAsia="ru-RU"/>
        </w:rPr>
        <w:t xml:space="preserve">he Company acts as a defendant in litigation with </w:t>
      </w:r>
      <w:r w:rsidR="00DD02EB">
        <w:rPr>
          <w:sz w:val="24"/>
          <w:szCs w:val="24"/>
          <w:lang w:val="en-US" w:eastAsia="ru-RU"/>
        </w:rPr>
        <w:t>JSC</w:t>
      </w:r>
      <w:r w:rsidR="00DD02EB" w:rsidRPr="005B3A4B">
        <w:rPr>
          <w:sz w:val="24"/>
          <w:szCs w:val="24"/>
          <w:lang w:val="en-US" w:eastAsia="ru-RU"/>
        </w:rPr>
        <w:t xml:space="preserve"> "Lipetsk Energy Retail Company" and </w:t>
      </w:r>
      <w:r w:rsidR="00DD02EB">
        <w:rPr>
          <w:sz w:val="24"/>
          <w:szCs w:val="24"/>
          <w:lang w:val="en-US" w:eastAsia="ru-RU"/>
        </w:rPr>
        <w:t>JSC</w:t>
      </w:r>
      <w:r w:rsidR="00DD02EB" w:rsidRPr="005B3A4B">
        <w:rPr>
          <w:sz w:val="24"/>
          <w:szCs w:val="24"/>
          <w:lang w:val="en-US" w:eastAsia="ru-RU"/>
        </w:rPr>
        <w:t xml:space="preserve"> "</w:t>
      </w:r>
      <w:proofErr w:type="spellStart"/>
      <w:r w:rsidR="00DD02EB" w:rsidRPr="005B3A4B">
        <w:rPr>
          <w:sz w:val="24"/>
          <w:szCs w:val="24"/>
          <w:lang w:val="en-US" w:eastAsia="ru-RU"/>
        </w:rPr>
        <w:t>Tverenergosbyt</w:t>
      </w:r>
      <w:proofErr w:type="spellEnd"/>
      <w:r w:rsidR="00DD02EB" w:rsidRPr="005B3A4B">
        <w:rPr>
          <w:sz w:val="24"/>
          <w:szCs w:val="24"/>
          <w:lang w:val="en-US" w:eastAsia="ru-RU"/>
        </w:rPr>
        <w:t xml:space="preserve">" for the recovery of debt to pay for electricity purchased in order to compensate for losses in electric </w:t>
      </w:r>
      <w:r w:rsidR="00DD02EB">
        <w:rPr>
          <w:sz w:val="24"/>
          <w:szCs w:val="24"/>
          <w:lang w:val="en-US" w:eastAsia="ru-RU"/>
        </w:rPr>
        <w:t>grid</w:t>
      </w:r>
      <w:r w:rsidR="00DD02EB" w:rsidRPr="005B3A4B">
        <w:rPr>
          <w:sz w:val="24"/>
          <w:szCs w:val="24"/>
          <w:lang w:val="en-US" w:eastAsia="ru-RU"/>
        </w:rPr>
        <w:t xml:space="preserve">s. The total amount of </w:t>
      </w:r>
      <w:r w:rsidR="00DD02EB">
        <w:rPr>
          <w:sz w:val="24"/>
          <w:szCs w:val="24"/>
          <w:lang w:val="en-US" w:eastAsia="ru-RU"/>
        </w:rPr>
        <w:t xml:space="preserve">the </w:t>
      </w:r>
      <w:r w:rsidR="00DD02EB" w:rsidRPr="005B3A4B">
        <w:rPr>
          <w:sz w:val="24"/>
          <w:szCs w:val="24"/>
          <w:lang w:val="en-US" w:eastAsia="ru-RU"/>
        </w:rPr>
        <w:t>principal</w:t>
      </w:r>
      <w:r w:rsidR="00DD02EB">
        <w:rPr>
          <w:sz w:val="24"/>
          <w:szCs w:val="24"/>
          <w:lang w:val="en-US" w:eastAsia="ru-RU"/>
        </w:rPr>
        <w:t xml:space="preserve"> debt</w:t>
      </w:r>
      <w:r w:rsidR="00DD02EB" w:rsidRPr="005B3A4B">
        <w:rPr>
          <w:sz w:val="24"/>
          <w:szCs w:val="24"/>
          <w:lang w:val="en-US" w:eastAsia="ru-RU"/>
        </w:rPr>
        <w:t xml:space="preserve">, challenged in these proceedings, is </w:t>
      </w:r>
      <w:r w:rsidR="004427FB" w:rsidRPr="00DD02EB">
        <w:rPr>
          <w:sz w:val="24"/>
          <w:szCs w:val="24"/>
          <w:lang w:val="en-US"/>
        </w:rPr>
        <w:t xml:space="preserve">2 121 141 </w:t>
      </w:r>
      <w:proofErr w:type="spellStart"/>
      <w:r w:rsidR="008F47BD" w:rsidRPr="00DD02EB">
        <w:rPr>
          <w:sz w:val="24"/>
          <w:szCs w:val="24"/>
          <w:lang w:val="en-US"/>
        </w:rPr>
        <w:t>thous</w:t>
      </w:r>
      <w:proofErr w:type="spellEnd"/>
      <w:r w:rsidR="008F47BD" w:rsidRPr="00DD02EB">
        <w:rPr>
          <w:sz w:val="24"/>
          <w:szCs w:val="24"/>
          <w:lang w:val="en-US"/>
        </w:rPr>
        <w:t>. RUB</w:t>
      </w:r>
      <w:r w:rsidR="006D44A8" w:rsidRPr="00DD02EB">
        <w:rPr>
          <w:sz w:val="24"/>
          <w:szCs w:val="24"/>
          <w:lang w:val="en-US"/>
        </w:rPr>
        <w:t>.</w:t>
      </w:r>
      <w:r w:rsidR="004427FB" w:rsidRPr="00DD02EB">
        <w:rPr>
          <w:sz w:val="24"/>
          <w:szCs w:val="24"/>
          <w:lang w:val="en-US"/>
        </w:rPr>
        <w:t xml:space="preserve"> </w:t>
      </w:r>
      <w:r w:rsidR="00DD02EB" w:rsidRPr="005B3A4B">
        <w:rPr>
          <w:sz w:val="24"/>
          <w:szCs w:val="24"/>
          <w:lang w:val="en-US" w:eastAsia="ru-RU"/>
        </w:rPr>
        <w:t xml:space="preserve">Given the presence of </w:t>
      </w:r>
      <w:r w:rsidR="00DD02EB">
        <w:rPr>
          <w:sz w:val="24"/>
          <w:szCs w:val="24"/>
          <w:lang w:val="en-US" w:eastAsia="ru-RU"/>
        </w:rPr>
        <w:t>some</w:t>
      </w:r>
      <w:r w:rsidR="00DD02EB" w:rsidRPr="005B3A4B">
        <w:rPr>
          <w:sz w:val="24"/>
          <w:szCs w:val="24"/>
          <w:lang w:val="en-US" w:eastAsia="ru-RU"/>
        </w:rPr>
        <w:t xml:space="preserve"> positive jurisprudence, the Company does not recognize a provision for estimated liabilities at the balance sheet date in respect of these claims, as it believes that the likelihood of resolution of disputes arising in </w:t>
      </w:r>
      <w:proofErr w:type="spellStart"/>
      <w:r w:rsidR="00DD02EB" w:rsidRPr="005B3A4B">
        <w:rPr>
          <w:sz w:val="24"/>
          <w:szCs w:val="24"/>
          <w:lang w:val="en-US" w:eastAsia="ru-RU"/>
        </w:rPr>
        <w:t>favo</w:t>
      </w:r>
      <w:r w:rsidR="00DD02EB">
        <w:rPr>
          <w:sz w:val="24"/>
          <w:szCs w:val="24"/>
          <w:lang w:val="en-US" w:eastAsia="ru-RU"/>
        </w:rPr>
        <w:t>u</w:t>
      </w:r>
      <w:r w:rsidR="00DD02EB" w:rsidRPr="005B3A4B">
        <w:rPr>
          <w:sz w:val="24"/>
          <w:szCs w:val="24"/>
          <w:lang w:val="en-US" w:eastAsia="ru-RU"/>
        </w:rPr>
        <w:t>r</w:t>
      </w:r>
      <w:proofErr w:type="spellEnd"/>
      <w:r w:rsidR="00DD02EB" w:rsidRPr="005B3A4B">
        <w:rPr>
          <w:sz w:val="24"/>
          <w:szCs w:val="24"/>
          <w:lang w:val="en-US" w:eastAsia="ru-RU"/>
        </w:rPr>
        <w:t xml:space="preserve"> of IDGC of Centre as high</w:t>
      </w:r>
      <w:r w:rsidR="004427FB" w:rsidRPr="00DD02EB">
        <w:rPr>
          <w:sz w:val="24"/>
          <w:szCs w:val="24"/>
          <w:lang w:val="en-US"/>
        </w:rPr>
        <w:t>.</w:t>
      </w:r>
    </w:p>
    <w:p w:rsidR="00433264" w:rsidRPr="00DD02EB" w:rsidRDefault="00433264" w:rsidP="004034FB">
      <w:pPr>
        <w:jc w:val="both"/>
        <w:rPr>
          <w:rFonts w:ascii="Calibri" w:hAnsi="Calibri"/>
          <w:sz w:val="24"/>
          <w:szCs w:val="24"/>
          <w:lang w:val="en-US" w:eastAsia="ru-RU"/>
        </w:rPr>
      </w:pPr>
    </w:p>
    <w:p w:rsidR="00433264" w:rsidRPr="00A938F0" w:rsidRDefault="00E67261" w:rsidP="00433264">
      <w:pPr>
        <w:ind w:firstLine="709"/>
        <w:jc w:val="both"/>
        <w:rPr>
          <w:sz w:val="24"/>
          <w:szCs w:val="24"/>
          <w:lang w:val="en-US" w:eastAsia="ru-RU"/>
        </w:rPr>
      </w:pPr>
      <w:r w:rsidRPr="0064693C">
        <w:rPr>
          <w:sz w:val="24"/>
          <w:szCs w:val="24"/>
          <w:lang w:val="en-US" w:eastAsia="ru-RU"/>
        </w:rPr>
        <w:t>As</w:t>
      </w:r>
      <w:r w:rsidRPr="003E57D3">
        <w:rPr>
          <w:sz w:val="24"/>
          <w:szCs w:val="24"/>
          <w:lang w:val="en-US" w:eastAsia="ru-RU"/>
        </w:rPr>
        <w:t xml:space="preserve"> </w:t>
      </w:r>
      <w:r w:rsidRPr="0064693C">
        <w:rPr>
          <w:sz w:val="24"/>
          <w:szCs w:val="24"/>
          <w:lang w:val="en-US" w:eastAsia="ru-RU"/>
        </w:rPr>
        <w:t>at</w:t>
      </w:r>
      <w:r w:rsidRPr="003E57D3">
        <w:rPr>
          <w:sz w:val="24"/>
          <w:szCs w:val="24"/>
          <w:lang w:val="en-US" w:eastAsia="ru-RU"/>
        </w:rPr>
        <w:t xml:space="preserve"> </w:t>
      </w:r>
      <w:r w:rsidR="00433264" w:rsidRPr="006D44A8">
        <w:rPr>
          <w:sz w:val="24"/>
          <w:szCs w:val="24"/>
          <w:lang w:val="en-US" w:eastAsia="ru-RU"/>
        </w:rPr>
        <w:t xml:space="preserve">31.12.2014 </w:t>
      </w:r>
      <w:r w:rsidR="006D44A8" w:rsidRPr="0064693C">
        <w:rPr>
          <w:sz w:val="24"/>
          <w:szCs w:val="24"/>
          <w:lang w:val="en-US" w:eastAsia="ru-RU"/>
        </w:rPr>
        <w:t xml:space="preserve">the reserves for future expenses also record the amount of estimated liability accrued for severance pay to employees of IDGC of Centre in the amount of </w:t>
      </w:r>
      <w:r w:rsidR="00433264" w:rsidRPr="006D44A8">
        <w:rPr>
          <w:sz w:val="24"/>
          <w:szCs w:val="24"/>
          <w:lang w:val="en-US" w:eastAsia="ru-RU"/>
        </w:rPr>
        <w:t xml:space="preserve">706 </w:t>
      </w:r>
      <w:proofErr w:type="spellStart"/>
      <w:r w:rsidR="008F47BD" w:rsidRPr="006D44A8">
        <w:rPr>
          <w:sz w:val="24"/>
          <w:szCs w:val="24"/>
          <w:lang w:val="en-US" w:eastAsia="ru-RU"/>
        </w:rPr>
        <w:t>thous</w:t>
      </w:r>
      <w:proofErr w:type="spellEnd"/>
      <w:r w:rsidR="008F47BD" w:rsidRPr="006D44A8">
        <w:rPr>
          <w:sz w:val="24"/>
          <w:szCs w:val="24"/>
          <w:lang w:val="en-US" w:eastAsia="ru-RU"/>
        </w:rPr>
        <w:t xml:space="preserve">. </w:t>
      </w:r>
      <w:r w:rsidR="008F47BD" w:rsidRPr="00A938F0">
        <w:rPr>
          <w:sz w:val="24"/>
          <w:szCs w:val="24"/>
          <w:lang w:val="en-US" w:eastAsia="ru-RU"/>
        </w:rPr>
        <w:t>RUB</w:t>
      </w:r>
      <w:r w:rsidR="00433264" w:rsidRPr="00A938F0">
        <w:rPr>
          <w:sz w:val="24"/>
          <w:szCs w:val="24"/>
          <w:lang w:val="en-US" w:eastAsia="ru-RU"/>
        </w:rPr>
        <w:t xml:space="preserve"> </w:t>
      </w:r>
      <w:r w:rsidR="00A938F0" w:rsidRPr="00A938F0">
        <w:rPr>
          <w:sz w:val="24"/>
          <w:szCs w:val="24"/>
          <w:lang w:val="en-US" w:eastAsia="ru-RU"/>
        </w:rPr>
        <w:t xml:space="preserve">due to the loss of </w:t>
      </w:r>
      <w:r w:rsidR="00A938F0">
        <w:rPr>
          <w:sz w:val="24"/>
          <w:szCs w:val="24"/>
          <w:lang w:val="en-US" w:eastAsia="ru-RU"/>
        </w:rPr>
        <w:t xml:space="preserve">the </w:t>
      </w:r>
      <w:r w:rsidR="00A938F0" w:rsidRPr="00A938F0">
        <w:rPr>
          <w:sz w:val="24"/>
          <w:szCs w:val="24"/>
          <w:lang w:val="en-US" w:eastAsia="ru-RU"/>
        </w:rPr>
        <w:t>function of a supplier of</w:t>
      </w:r>
      <w:r w:rsidR="00A938F0">
        <w:rPr>
          <w:sz w:val="24"/>
          <w:szCs w:val="24"/>
          <w:lang w:val="en-US" w:eastAsia="ru-RU"/>
        </w:rPr>
        <w:t xml:space="preserve"> last resort </w:t>
      </w:r>
      <w:r w:rsidR="00433264" w:rsidRPr="00A938F0">
        <w:rPr>
          <w:sz w:val="24"/>
          <w:szCs w:val="24"/>
          <w:lang w:val="en-US" w:eastAsia="ru-RU"/>
        </w:rPr>
        <w:t>(</w:t>
      </w:r>
      <w:r w:rsidR="006D44A8" w:rsidRPr="0064693C">
        <w:rPr>
          <w:sz w:val="24"/>
          <w:szCs w:val="24"/>
          <w:lang w:val="en-US" w:eastAsia="ru-RU"/>
        </w:rPr>
        <w:t>Note</w:t>
      </w:r>
      <w:r w:rsidR="00433264" w:rsidRPr="00A938F0">
        <w:rPr>
          <w:sz w:val="24"/>
          <w:szCs w:val="24"/>
          <w:lang w:val="en-US" w:eastAsia="ru-RU"/>
        </w:rPr>
        <w:t xml:space="preserve"> 3.18.3).</w:t>
      </w:r>
    </w:p>
    <w:p w:rsidR="00433264" w:rsidRPr="00A938F0" w:rsidRDefault="00433264" w:rsidP="00E177BA">
      <w:pPr>
        <w:ind w:firstLine="709"/>
        <w:jc w:val="both"/>
        <w:rPr>
          <w:sz w:val="24"/>
          <w:szCs w:val="24"/>
          <w:lang w:val="en-US" w:eastAsia="ru-RU"/>
        </w:rPr>
      </w:pPr>
    </w:p>
    <w:p w:rsidR="000771AD" w:rsidRPr="006D44A8" w:rsidRDefault="006E303A" w:rsidP="00E177BA">
      <w:pPr>
        <w:ind w:firstLine="709"/>
        <w:jc w:val="both"/>
        <w:rPr>
          <w:sz w:val="24"/>
          <w:szCs w:val="24"/>
          <w:lang w:val="en-US" w:eastAsia="ru-RU"/>
        </w:rPr>
      </w:pPr>
      <w:r w:rsidRPr="00726828">
        <w:rPr>
          <w:sz w:val="24"/>
          <w:szCs w:val="24"/>
          <w:lang w:val="en-US" w:eastAsia="ru-RU"/>
        </w:rPr>
        <w:t>3</w:t>
      </w:r>
      <w:r w:rsidR="00EE4F1D" w:rsidRPr="00726828">
        <w:rPr>
          <w:sz w:val="24"/>
          <w:szCs w:val="24"/>
          <w:lang w:val="en-US" w:eastAsia="ru-RU"/>
        </w:rPr>
        <w:t>.</w:t>
      </w:r>
      <w:r w:rsidR="00D7687D" w:rsidRPr="00726828">
        <w:rPr>
          <w:sz w:val="24"/>
          <w:szCs w:val="24"/>
          <w:lang w:val="en-US" w:eastAsia="ru-RU"/>
        </w:rPr>
        <w:t>8</w:t>
      </w:r>
      <w:r w:rsidR="00EE4F1D" w:rsidRPr="00726828">
        <w:rPr>
          <w:sz w:val="24"/>
          <w:szCs w:val="24"/>
          <w:lang w:val="en-US" w:eastAsia="ru-RU"/>
        </w:rPr>
        <w:t>.</w:t>
      </w:r>
      <w:r w:rsidRPr="00726828">
        <w:rPr>
          <w:sz w:val="24"/>
          <w:szCs w:val="24"/>
          <w:lang w:val="en-US" w:eastAsia="ru-RU"/>
        </w:rPr>
        <w:t>2.</w:t>
      </w:r>
      <w:r w:rsidR="00FF147D" w:rsidRPr="00726828">
        <w:rPr>
          <w:sz w:val="24"/>
          <w:szCs w:val="24"/>
          <w:lang w:val="en-US" w:eastAsia="ru-RU"/>
        </w:rPr>
        <w:t xml:space="preserve"> </w:t>
      </w:r>
      <w:r w:rsidR="006D44A8" w:rsidRPr="0064693C">
        <w:rPr>
          <w:sz w:val="24"/>
          <w:szCs w:val="24"/>
          <w:lang w:val="en-US" w:eastAsia="ru-RU"/>
        </w:rPr>
        <w:t xml:space="preserve">Information on provisions of IDGC of Centre given and received is included in the explanatory note to the accounting balance sheet and the profit and loss statement in table </w:t>
      </w:r>
      <w:r w:rsidR="0054523A" w:rsidRPr="006D44A8">
        <w:rPr>
          <w:sz w:val="24"/>
          <w:szCs w:val="24"/>
          <w:lang w:val="en-US" w:eastAsia="ru-RU"/>
        </w:rPr>
        <w:t>5.8.</w:t>
      </w:r>
    </w:p>
    <w:p w:rsidR="007F39D3" w:rsidRPr="006D44A8" w:rsidRDefault="007F39D3" w:rsidP="004034FB">
      <w:pPr>
        <w:jc w:val="both"/>
        <w:rPr>
          <w:sz w:val="24"/>
          <w:szCs w:val="24"/>
          <w:lang w:val="en-US" w:eastAsia="ru-RU"/>
        </w:rPr>
      </w:pPr>
    </w:p>
    <w:p w:rsidR="008041DF" w:rsidRPr="006D44A8" w:rsidRDefault="008041DF" w:rsidP="004034FB">
      <w:pPr>
        <w:jc w:val="both"/>
        <w:rPr>
          <w:sz w:val="24"/>
          <w:szCs w:val="24"/>
          <w:lang w:val="en-US" w:eastAsia="ru-RU"/>
        </w:rPr>
      </w:pPr>
    </w:p>
    <w:p w:rsidR="00FF147D" w:rsidRPr="003507DA" w:rsidRDefault="00D7687D" w:rsidP="00E37AB5">
      <w:pPr>
        <w:pStyle w:val="8"/>
        <w:numPr>
          <w:ilvl w:val="1"/>
          <w:numId w:val="7"/>
        </w:numPr>
      </w:pPr>
      <w:bookmarkStart w:id="14" w:name="_Toc381196256"/>
      <w:bookmarkStart w:id="15" w:name="_Toc381196482"/>
      <w:bookmarkStart w:id="16" w:name="_Toc381199123"/>
      <w:bookmarkStart w:id="17" w:name="_Toc381199336"/>
      <w:bookmarkEnd w:id="14"/>
      <w:bookmarkEnd w:id="15"/>
      <w:bookmarkEnd w:id="16"/>
      <w:bookmarkEnd w:id="17"/>
      <w:r w:rsidRPr="006D44A8">
        <w:rPr>
          <w:lang w:val="en-US"/>
        </w:rPr>
        <w:t xml:space="preserve"> </w:t>
      </w:r>
      <w:bookmarkStart w:id="18" w:name="_Toc381199337"/>
      <w:r w:rsidR="00430772" w:rsidRPr="006D44A8">
        <w:rPr>
          <w:lang w:val="en-US"/>
        </w:rPr>
        <w:t xml:space="preserve">        </w:t>
      </w:r>
      <w:bookmarkEnd w:id="18"/>
      <w:proofErr w:type="spellStart"/>
      <w:r w:rsidR="00D66854" w:rsidRPr="0064693C">
        <w:t>Information</w:t>
      </w:r>
      <w:proofErr w:type="spellEnd"/>
      <w:r w:rsidR="00D66854" w:rsidRPr="0064693C">
        <w:t xml:space="preserve"> </w:t>
      </w:r>
      <w:proofErr w:type="spellStart"/>
      <w:r w:rsidR="00D66854" w:rsidRPr="0064693C">
        <w:t>on</w:t>
      </w:r>
      <w:proofErr w:type="spellEnd"/>
      <w:r w:rsidR="00D66854" w:rsidRPr="0064693C">
        <w:t xml:space="preserve"> </w:t>
      </w:r>
      <w:proofErr w:type="spellStart"/>
      <w:r w:rsidR="00D66854" w:rsidRPr="0064693C">
        <w:t>income</w:t>
      </w:r>
      <w:proofErr w:type="spellEnd"/>
    </w:p>
    <w:p w:rsidR="00FF147D" w:rsidRPr="003507DA" w:rsidRDefault="00FF147D" w:rsidP="00DF723E">
      <w:pPr>
        <w:ind w:firstLine="709"/>
        <w:jc w:val="both"/>
        <w:rPr>
          <w:sz w:val="24"/>
          <w:szCs w:val="24"/>
          <w:lang w:val="ru-RU" w:eastAsia="ru-RU"/>
        </w:rPr>
      </w:pPr>
    </w:p>
    <w:p w:rsidR="00FF147D" w:rsidRPr="00D66854" w:rsidRDefault="00D66854" w:rsidP="008B3678">
      <w:pPr>
        <w:ind w:firstLine="709"/>
        <w:jc w:val="both"/>
        <w:rPr>
          <w:sz w:val="24"/>
          <w:szCs w:val="24"/>
          <w:lang w:val="en-US" w:eastAsia="ru-RU"/>
        </w:rPr>
      </w:pPr>
      <w:r w:rsidRPr="0064693C">
        <w:rPr>
          <w:sz w:val="24"/>
          <w:szCs w:val="24"/>
          <w:lang w:val="en-US" w:eastAsia="ru-RU"/>
        </w:rPr>
        <w:t>Income for the accounting year is included in the profit and loss statement separately on ordinary activities and under other income with breakdown by kinds and values</w:t>
      </w:r>
      <w:r w:rsidR="004F1B7B" w:rsidRPr="00D66854">
        <w:rPr>
          <w:sz w:val="24"/>
          <w:szCs w:val="24"/>
          <w:lang w:val="en-US" w:eastAsia="ru-RU"/>
        </w:rPr>
        <w:t>.</w:t>
      </w:r>
    </w:p>
    <w:p w:rsidR="00585B1C" w:rsidRPr="00D66854" w:rsidRDefault="00585B1C" w:rsidP="00DF723E">
      <w:pPr>
        <w:ind w:firstLine="709"/>
        <w:jc w:val="both"/>
        <w:rPr>
          <w:rFonts w:ascii="13" w:hAnsi="13"/>
          <w:sz w:val="24"/>
          <w:szCs w:val="24"/>
          <w:lang w:val="en-US"/>
        </w:rPr>
      </w:pPr>
    </w:p>
    <w:p w:rsidR="002C2CD7" w:rsidRPr="00D66854" w:rsidRDefault="00D66854" w:rsidP="00DF723E">
      <w:pPr>
        <w:ind w:firstLine="709"/>
        <w:jc w:val="both"/>
        <w:rPr>
          <w:sz w:val="24"/>
          <w:szCs w:val="24"/>
          <w:lang w:val="en-US" w:eastAsia="ru-RU"/>
        </w:rPr>
      </w:pPr>
      <w:r w:rsidRPr="00CC65C7">
        <w:rPr>
          <w:sz w:val="24"/>
          <w:szCs w:val="24"/>
          <w:lang w:val="en-US" w:eastAsia="ru-RU"/>
        </w:rPr>
        <w:t xml:space="preserve">Other income is included </w:t>
      </w:r>
      <w:r w:rsidRPr="00EE27F2">
        <w:rPr>
          <w:sz w:val="24"/>
          <w:szCs w:val="24"/>
          <w:lang w:val="en-US" w:eastAsia="ru-RU"/>
        </w:rPr>
        <w:t xml:space="preserve">in the explanatory note to the accounting balance sheet and the profit and loss statement in table </w:t>
      </w:r>
      <w:r w:rsidR="0021349F" w:rsidRPr="00D66854">
        <w:rPr>
          <w:sz w:val="24"/>
          <w:szCs w:val="24"/>
          <w:lang w:val="en-US" w:eastAsia="ru-RU"/>
        </w:rPr>
        <w:t>5.11.</w:t>
      </w:r>
    </w:p>
    <w:p w:rsidR="00AD336D" w:rsidRPr="00D66854" w:rsidRDefault="00AD336D" w:rsidP="00DF723E">
      <w:pPr>
        <w:ind w:firstLine="709"/>
        <w:jc w:val="both"/>
        <w:rPr>
          <w:sz w:val="24"/>
          <w:szCs w:val="24"/>
          <w:lang w:val="en-US" w:eastAsia="ru-RU"/>
        </w:rPr>
      </w:pPr>
    </w:p>
    <w:p w:rsidR="005E0517" w:rsidRPr="00D66854" w:rsidRDefault="00D66854" w:rsidP="00E177BA">
      <w:pPr>
        <w:ind w:firstLine="709"/>
        <w:jc w:val="both"/>
        <w:rPr>
          <w:sz w:val="24"/>
          <w:szCs w:val="24"/>
          <w:lang w:val="en-US" w:eastAsia="ru-RU"/>
        </w:rPr>
      </w:pPr>
      <w:r w:rsidRPr="009C5826">
        <w:rPr>
          <w:sz w:val="24"/>
          <w:szCs w:val="24"/>
          <w:lang w:val="en-US" w:eastAsia="ru-RU"/>
        </w:rPr>
        <w:t>Distribution of revenue and expenses by type of activity, excluding the delivery component of electricity sales under power supply contracts</w:t>
      </w:r>
      <w:r w:rsidR="005E0517" w:rsidRPr="00D66854">
        <w:rPr>
          <w:sz w:val="24"/>
          <w:szCs w:val="24"/>
          <w:lang w:val="en-US" w:eastAsia="ru-RU"/>
        </w:rPr>
        <w:t>:</w:t>
      </w:r>
    </w:p>
    <w:p w:rsidR="000771AD" w:rsidRPr="003507DA" w:rsidRDefault="008F47BD" w:rsidP="00E177BA">
      <w:pPr>
        <w:jc w:val="right"/>
        <w:rPr>
          <w:sz w:val="24"/>
          <w:szCs w:val="24"/>
          <w:lang w:val="ru-RU" w:eastAsia="ru-RU"/>
        </w:rPr>
      </w:pPr>
      <w:proofErr w:type="spellStart"/>
      <w:r>
        <w:rPr>
          <w:sz w:val="24"/>
          <w:szCs w:val="24"/>
          <w:lang w:val="ru-RU" w:eastAsia="ru-RU"/>
        </w:rPr>
        <w:t>thous</w:t>
      </w:r>
      <w:proofErr w:type="spellEnd"/>
      <w:r>
        <w:rPr>
          <w:sz w:val="24"/>
          <w:szCs w:val="24"/>
          <w:lang w:val="ru-RU" w:eastAsia="ru-RU"/>
        </w:rPr>
        <w:t>. RUB</w:t>
      </w:r>
    </w:p>
    <w:tbl>
      <w:tblPr>
        <w:tblW w:w="4915" w:type="pct"/>
        <w:jc w:val="center"/>
        <w:tblLayout w:type="fixed"/>
        <w:tblLook w:val="04A0"/>
      </w:tblPr>
      <w:tblGrid>
        <w:gridCol w:w="4836"/>
        <w:gridCol w:w="2293"/>
        <w:gridCol w:w="2293"/>
      </w:tblGrid>
      <w:tr w:rsidR="005E0517" w:rsidRPr="001F7594" w:rsidTr="00E177BA">
        <w:trPr>
          <w:trHeight w:val="300"/>
          <w:jc w:val="center"/>
        </w:trPr>
        <w:tc>
          <w:tcPr>
            <w:tcW w:w="2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0517" w:rsidRPr="00E261BB" w:rsidRDefault="00E261BB" w:rsidP="003208EC">
            <w:pPr>
              <w:ind w:left="57"/>
              <w:jc w:val="center"/>
              <w:rPr>
                <w:b/>
                <w:bCs/>
                <w:lang w:val="en-US" w:eastAsia="en-GB"/>
              </w:rPr>
            </w:pPr>
            <w:r>
              <w:rPr>
                <w:b/>
                <w:bCs/>
                <w:lang w:val="en-US" w:eastAsia="en-GB"/>
              </w:rPr>
              <w:t>Name</w:t>
            </w:r>
          </w:p>
        </w:tc>
        <w:tc>
          <w:tcPr>
            <w:tcW w:w="1217" w:type="pct"/>
            <w:tcBorders>
              <w:top w:val="single" w:sz="4" w:space="0" w:color="auto"/>
              <w:left w:val="nil"/>
              <w:bottom w:val="single" w:sz="4" w:space="0" w:color="auto"/>
              <w:right w:val="single" w:sz="4" w:space="0" w:color="auto"/>
            </w:tcBorders>
            <w:shd w:val="clear" w:color="auto" w:fill="auto"/>
            <w:vAlign w:val="center"/>
            <w:hideMark/>
          </w:tcPr>
          <w:p w:rsidR="005E0517" w:rsidRPr="001F7594" w:rsidRDefault="005E0517" w:rsidP="00D66854">
            <w:pPr>
              <w:jc w:val="center"/>
              <w:rPr>
                <w:b/>
                <w:lang w:val="ru-RU" w:eastAsia="en-GB"/>
              </w:rPr>
            </w:pPr>
            <w:r w:rsidRPr="001F7594">
              <w:rPr>
                <w:b/>
                <w:lang w:val="ru-RU" w:eastAsia="en-GB"/>
              </w:rPr>
              <w:t xml:space="preserve">2013 </w:t>
            </w:r>
          </w:p>
        </w:tc>
        <w:tc>
          <w:tcPr>
            <w:tcW w:w="1217" w:type="pct"/>
            <w:tcBorders>
              <w:top w:val="single" w:sz="4" w:space="0" w:color="auto"/>
              <w:left w:val="nil"/>
              <w:bottom w:val="single" w:sz="4" w:space="0" w:color="auto"/>
              <w:right w:val="single" w:sz="4" w:space="0" w:color="auto"/>
            </w:tcBorders>
          </w:tcPr>
          <w:p w:rsidR="005E0517" w:rsidRPr="001F7594" w:rsidRDefault="005E0517" w:rsidP="00D66854">
            <w:pPr>
              <w:jc w:val="center"/>
              <w:rPr>
                <w:b/>
                <w:lang w:val="ru-RU" w:eastAsia="en-GB"/>
              </w:rPr>
            </w:pPr>
            <w:r w:rsidRPr="001F7594">
              <w:rPr>
                <w:b/>
                <w:lang w:val="ru-RU" w:eastAsia="en-GB"/>
              </w:rPr>
              <w:t>201</w:t>
            </w:r>
            <w:r w:rsidR="001F7594" w:rsidRPr="001F7594">
              <w:rPr>
                <w:b/>
                <w:lang w:val="ru-RU" w:eastAsia="en-GB"/>
              </w:rPr>
              <w:t>4</w:t>
            </w:r>
            <w:r w:rsidRPr="001F7594">
              <w:rPr>
                <w:b/>
                <w:lang w:val="ru-RU" w:eastAsia="en-GB"/>
              </w:rPr>
              <w:t xml:space="preserve"> </w:t>
            </w:r>
          </w:p>
        </w:tc>
      </w:tr>
      <w:tr w:rsidR="00E261BB" w:rsidRPr="001F7594" w:rsidTr="00E177BA">
        <w:trPr>
          <w:trHeight w:val="300"/>
          <w:jc w:val="center"/>
        </w:trPr>
        <w:tc>
          <w:tcPr>
            <w:tcW w:w="2566" w:type="pct"/>
            <w:tcBorders>
              <w:top w:val="nil"/>
              <w:left w:val="single" w:sz="4" w:space="0" w:color="auto"/>
              <w:bottom w:val="single" w:sz="4" w:space="0" w:color="auto"/>
              <w:right w:val="single" w:sz="4" w:space="0" w:color="auto"/>
            </w:tcBorders>
            <w:shd w:val="clear" w:color="auto" w:fill="auto"/>
            <w:vAlign w:val="center"/>
            <w:hideMark/>
          </w:tcPr>
          <w:p w:rsidR="00E261BB" w:rsidRPr="00D40F23" w:rsidRDefault="00E261BB" w:rsidP="00F753AD">
            <w:pPr>
              <w:ind w:left="57"/>
              <w:rPr>
                <w:b/>
                <w:bCs/>
                <w:lang w:val="en-US" w:eastAsia="en-GB"/>
              </w:rPr>
            </w:pPr>
            <w:r w:rsidRPr="00D40F23">
              <w:rPr>
                <w:b/>
                <w:bCs/>
                <w:lang w:val="en-US" w:eastAsia="en-GB"/>
              </w:rPr>
              <w:t xml:space="preserve">Proceeds (net) from sales of products (services), total  </w:t>
            </w:r>
          </w:p>
        </w:tc>
        <w:tc>
          <w:tcPr>
            <w:tcW w:w="1217" w:type="pct"/>
            <w:tcBorders>
              <w:top w:val="nil"/>
              <w:left w:val="nil"/>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b/>
                <w:bCs/>
                <w:lang w:val="ru-RU" w:eastAsia="en-GB"/>
              </w:rPr>
            </w:pPr>
            <w:r w:rsidRPr="001F7594">
              <w:rPr>
                <w:b/>
                <w:bCs/>
                <w:lang w:val="ru-RU" w:eastAsia="en-GB"/>
              </w:rPr>
              <w:t>92 947 498</w:t>
            </w:r>
          </w:p>
        </w:tc>
        <w:tc>
          <w:tcPr>
            <w:tcW w:w="1217" w:type="pct"/>
            <w:tcBorders>
              <w:top w:val="nil"/>
              <w:left w:val="nil"/>
              <w:bottom w:val="single" w:sz="4" w:space="0" w:color="auto"/>
              <w:right w:val="single" w:sz="4" w:space="0" w:color="auto"/>
            </w:tcBorders>
            <w:vAlign w:val="center"/>
          </w:tcPr>
          <w:p w:rsidR="00E261BB" w:rsidRPr="001F7594" w:rsidRDefault="00E261BB" w:rsidP="001F7594">
            <w:pPr>
              <w:ind w:right="57"/>
              <w:jc w:val="center"/>
              <w:rPr>
                <w:b/>
                <w:bCs/>
                <w:lang w:val="ru-RU" w:eastAsia="en-GB"/>
              </w:rPr>
            </w:pPr>
            <w:r>
              <w:rPr>
                <w:b/>
                <w:bCs/>
                <w:lang w:val="ru-RU" w:eastAsia="en-GB"/>
              </w:rPr>
              <w:t>86 705 172</w:t>
            </w:r>
          </w:p>
        </w:tc>
      </w:tr>
      <w:tr w:rsidR="00E261BB" w:rsidRPr="001F7594" w:rsidTr="00E177BA">
        <w:trPr>
          <w:trHeight w:val="300"/>
          <w:jc w:val="center"/>
        </w:trPr>
        <w:tc>
          <w:tcPr>
            <w:tcW w:w="2566" w:type="pct"/>
            <w:tcBorders>
              <w:top w:val="nil"/>
              <w:left w:val="single" w:sz="4" w:space="0" w:color="auto"/>
              <w:bottom w:val="single" w:sz="4" w:space="0" w:color="auto"/>
              <w:right w:val="single" w:sz="4" w:space="0" w:color="auto"/>
            </w:tcBorders>
            <w:shd w:val="clear" w:color="auto" w:fill="auto"/>
            <w:vAlign w:val="center"/>
            <w:hideMark/>
          </w:tcPr>
          <w:p w:rsidR="00E261BB" w:rsidRPr="00836721" w:rsidRDefault="00E261BB" w:rsidP="00F753AD">
            <w:pPr>
              <w:ind w:left="57"/>
              <w:rPr>
                <w:lang w:val="ru-RU" w:eastAsia="en-GB"/>
              </w:rPr>
            </w:pPr>
            <w:proofErr w:type="spellStart"/>
            <w:r w:rsidRPr="00D40F23">
              <w:rPr>
                <w:lang w:val="ru-RU" w:eastAsia="en-GB"/>
              </w:rPr>
              <w:t>from</w:t>
            </w:r>
            <w:proofErr w:type="spellEnd"/>
            <w:r w:rsidRPr="00D40F23">
              <w:rPr>
                <w:lang w:val="ru-RU" w:eastAsia="en-GB"/>
              </w:rPr>
              <w:t xml:space="preserve"> </w:t>
            </w:r>
            <w:proofErr w:type="spellStart"/>
            <w:r w:rsidRPr="00D40F23">
              <w:rPr>
                <w:lang w:val="ru-RU" w:eastAsia="en-GB"/>
              </w:rPr>
              <w:t>electricity</w:t>
            </w:r>
            <w:proofErr w:type="spellEnd"/>
            <w:r w:rsidRPr="00D40F23">
              <w:rPr>
                <w:lang w:val="ru-RU" w:eastAsia="en-GB"/>
              </w:rPr>
              <w:t xml:space="preserve"> </w:t>
            </w:r>
            <w:proofErr w:type="spellStart"/>
            <w:r w:rsidRPr="00D40F23">
              <w:rPr>
                <w:lang w:val="ru-RU" w:eastAsia="en-GB"/>
              </w:rPr>
              <w:t>transmission</w:t>
            </w:r>
            <w:proofErr w:type="spellEnd"/>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lang w:val="ru-RU" w:eastAsia="en-GB"/>
              </w:rPr>
            </w:pPr>
            <w:r w:rsidRPr="001F7594">
              <w:rPr>
                <w:lang w:val="ru-RU" w:eastAsia="en-GB"/>
              </w:rPr>
              <w:t>75 181 511</w:t>
            </w:r>
          </w:p>
        </w:tc>
        <w:tc>
          <w:tcPr>
            <w:tcW w:w="1217" w:type="pct"/>
            <w:tcBorders>
              <w:top w:val="single" w:sz="4" w:space="0" w:color="auto"/>
              <w:left w:val="single" w:sz="4" w:space="0" w:color="auto"/>
              <w:bottom w:val="single" w:sz="4" w:space="0" w:color="auto"/>
              <w:right w:val="single" w:sz="4" w:space="0" w:color="auto"/>
            </w:tcBorders>
            <w:vAlign w:val="center"/>
          </w:tcPr>
          <w:p w:rsidR="00E261BB" w:rsidRPr="001F7594" w:rsidRDefault="00E261BB" w:rsidP="001F7594">
            <w:pPr>
              <w:ind w:right="57"/>
              <w:jc w:val="center"/>
              <w:rPr>
                <w:lang w:val="ru-RU" w:eastAsia="en-GB"/>
              </w:rPr>
            </w:pPr>
            <w:r>
              <w:rPr>
                <w:lang w:val="ru-RU" w:eastAsia="en-GB"/>
              </w:rPr>
              <w:t>75 904 371</w:t>
            </w:r>
          </w:p>
        </w:tc>
      </w:tr>
      <w:tr w:rsidR="00E261BB" w:rsidRPr="001F7594" w:rsidTr="00E177BA">
        <w:trPr>
          <w:trHeight w:val="300"/>
          <w:jc w:val="center"/>
        </w:trPr>
        <w:tc>
          <w:tcPr>
            <w:tcW w:w="2566" w:type="pct"/>
            <w:tcBorders>
              <w:top w:val="nil"/>
              <w:left w:val="single" w:sz="4" w:space="0" w:color="auto"/>
              <w:bottom w:val="nil"/>
              <w:right w:val="single" w:sz="4" w:space="0" w:color="auto"/>
            </w:tcBorders>
            <w:shd w:val="clear" w:color="auto" w:fill="auto"/>
            <w:vAlign w:val="center"/>
            <w:hideMark/>
          </w:tcPr>
          <w:p w:rsidR="00E261BB" w:rsidRPr="00836721" w:rsidRDefault="00E261BB" w:rsidP="00F753AD">
            <w:pPr>
              <w:ind w:left="57"/>
              <w:rPr>
                <w:color w:val="000000"/>
                <w:lang w:val="ru-RU" w:eastAsia="en-GB"/>
              </w:rPr>
            </w:pPr>
            <w:proofErr w:type="spellStart"/>
            <w:r w:rsidRPr="00D40F23">
              <w:rPr>
                <w:color w:val="000000"/>
                <w:lang w:val="ru-RU" w:eastAsia="en-GB"/>
              </w:rPr>
              <w:t>from</w:t>
            </w:r>
            <w:proofErr w:type="spellEnd"/>
            <w:r w:rsidRPr="00D40F23">
              <w:rPr>
                <w:color w:val="000000"/>
                <w:lang w:val="ru-RU" w:eastAsia="en-GB"/>
              </w:rPr>
              <w:t xml:space="preserve"> </w:t>
            </w:r>
            <w:proofErr w:type="spellStart"/>
            <w:r w:rsidRPr="00D40F23">
              <w:rPr>
                <w:color w:val="000000"/>
                <w:lang w:val="ru-RU" w:eastAsia="en-GB"/>
              </w:rPr>
              <w:t>electricity</w:t>
            </w:r>
            <w:proofErr w:type="spellEnd"/>
            <w:r w:rsidRPr="00D40F23">
              <w:rPr>
                <w:color w:val="000000"/>
                <w:lang w:val="ru-RU" w:eastAsia="en-GB"/>
              </w:rPr>
              <w:t xml:space="preserve"> </w:t>
            </w:r>
            <w:proofErr w:type="spellStart"/>
            <w:r w:rsidRPr="00D40F23">
              <w:rPr>
                <w:color w:val="000000"/>
                <w:lang w:val="ru-RU" w:eastAsia="en-GB"/>
              </w:rPr>
              <w:t>sale</w:t>
            </w:r>
            <w:proofErr w:type="spellEnd"/>
            <w:r w:rsidRPr="00836721">
              <w:rPr>
                <w:color w:val="000000"/>
                <w:lang w:val="ru-RU" w:eastAsia="en-GB"/>
              </w:rPr>
              <w:t>*</w:t>
            </w:r>
          </w:p>
        </w:tc>
        <w:tc>
          <w:tcPr>
            <w:tcW w:w="1217" w:type="pct"/>
            <w:tcBorders>
              <w:top w:val="nil"/>
              <w:left w:val="nil"/>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lang w:val="ru-RU" w:eastAsia="en-GB"/>
              </w:rPr>
            </w:pPr>
            <w:r w:rsidRPr="001F7594">
              <w:rPr>
                <w:lang w:val="ru-RU" w:eastAsia="en-GB"/>
              </w:rPr>
              <w:t>15 984 687</w:t>
            </w:r>
          </w:p>
        </w:tc>
        <w:tc>
          <w:tcPr>
            <w:tcW w:w="1217" w:type="pct"/>
            <w:tcBorders>
              <w:top w:val="nil"/>
              <w:left w:val="nil"/>
              <w:bottom w:val="single" w:sz="4" w:space="0" w:color="auto"/>
              <w:right w:val="single" w:sz="4" w:space="0" w:color="auto"/>
            </w:tcBorders>
            <w:vAlign w:val="center"/>
          </w:tcPr>
          <w:p w:rsidR="00E261BB" w:rsidRPr="001F7594" w:rsidRDefault="00E261BB" w:rsidP="001F7594">
            <w:pPr>
              <w:ind w:right="57"/>
              <w:jc w:val="center"/>
              <w:rPr>
                <w:lang w:val="ru-RU" w:eastAsia="en-GB"/>
              </w:rPr>
            </w:pPr>
            <w:r>
              <w:rPr>
                <w:lang w:val="ru-RU" w:eastAsia="en-GB"/>
              </w:rPr>
              <w:t>8 300 110</w:t>
            </w:r>
          </w:p>
        </w:tc>
      </w:tr>
      <w:tr w:rsidR="00E261BB" w:rsidRPr="001F7594" w:rsidTr="00E177BA">
        <w:trPr>
          <w:trHeight w:val="300"/>
          <w:jc w:val="center"/>
        </w:trPr>
        <w:tc>
          <w:tcPr>
            <w:tcW w:w="2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61BB" w:rsidRPr="00D40F23" w:rsidRDefault="00E261BB" w:rsidP="00F753AD">
            <w:pPr>
              <w:ind w:left="57"/>
              <w:rPr>
                <w:lang w:val="en-US" w:eastAsia="en-GB"/>
              </w:rPr>
            </w:pPr>
            <w:r>
              <w:rPr>
                <w:lang w:val="en-US" w:eastAsia="en-GB"/>
              </w:rPr>
              <w:t xml:space="preserve">from </w:t>
            </w:r>
            <w:r w:rsidRPr="00D40F23">
              <w:rPr>
                <w:lang w:val="en-US" w:eastAsia="en-GB"/>
              </w:rPr>
              <w:t>other products (services) of core activities</w:t>
            </w:r>
          </w:p>
        </w:tc>
        <w:tc>
          <w:tcPr>
            <w:tcW w:w="1217" w:type="pct"/>
            <w:tcBorders>
              <w:top w:val="nil"/>
              <w:left w:val="single" w:sz="4" w:space="0" w:color="auto"/>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lang w:val="ru-RU" w:eastAsia="en-GB"/>
              </w:rPr>
            </w:pPr>
            <w:r w:rsidRPr="001F7594">
              <w:rPr>
                <w:lang w:val="ru-RU" w:eastAsia="en-GB"/>
              </w:rPr>
              <w:t>1 781 300</w:t>
            </w:r>
          </w:p>
        </w:tc>
        <w:tc>
          <w:tcPr>
            <w:tcW w:w="1217" w:type="pct"/>
            <w:tcBorders>
              <w:top w:val="nil"/>
              <w:left w:val="single" w:sz="4" w:space="0" w:color="auto"/>
              <w:bottom w:val="single" w:sz="4" w:space="0" w:color="auto"/>
              <w:right w:val="single" w:sz="4" w:space="0" w:color="auto"/>
            </w:tcBorders>
            <w:vAlign w:val="center"/>
          </w:tcPr>
          <w:p w:rsidR="00E261BB" w:rsidRPr="001F7594" w:rsidRDefault="00E261BB" w:rsidP="001F7594">
            <w:pPr>
              <w:ind w:right="57"/>
              <w:jc w:val="center"/>
              <w:rPr>
                <w:lang w:val="ru-RU" w:eastAsia="en-GB"/>
              </w:rPr>
            </w:pPr>
            <w:r>
              <w:rPr>
                <w:lang w:val="ru-RU" w:eastAsia="en-GB"/>
              </w:rPr>
              <w:t>2 500 691</w:t>
            </w:r>
          </w:p>
        </w:tc>
      </w:tr>
      <w:tr w:rsidR="00E261BB" w:rsidRPr="001F7594" w:rsidTr="00E177BA">
        <w:trPr>
          <w:trHeight w:val="300"/>
          <w:jc w:val="center"/>
        </w:trPr>
        <w:tc>
          <w:tcPr>
            <w:tcW w:w="2566" w:type="pct"/>
            <w:tcBorders>
              <w:top w:val="nil"/>
              <w:left w:val="single" w:sz="4" w:space="0" w:color="auto"/>
              <w:bottom w:val="single" w:sz="4" w:space="0" w:color="auto"/>
              <w:right w:val="single" w:sz="4" w:space="0" w:color="auto"/>
            </w:tcBorders>
            <w:shd w:val="clear" w:color="auto" w:fill="auto"/>
            <w:vAlign w:val="center"/>
            <w:hideMark/>
          </w:tcPr>
          <w:p w:rsidR="00E261BB" w:rsidRPr="00D40F23" w:rsidRDefault="00E261BB" w:rsidP="00F753AD">
            <w:pPr>
              <w:ind w:left="57"/>
              <w:rPr>
                <w:b/>
                <w:bCs/>
                <w:lang w:val="en-US" w:eastAsia="en-GB"/>
              </w:rPr>
            </w:pPr>
            <w:r w:rsidRPr="00D40F23">
              <w:rPr>
                <w:b/>
                <w:bCs/>
                <w:lang w:val="en-US" w:eastAsia="en-GB"/>
              </w:rPr>
              <w:t xml:space="preserve">Cost of sales </w:t>
            </w:r>
            <w:r>
              <w:rPr>
                <w:b/>
                <w:bCs/>
                <w:lang w:val="en-US" w:eastAsia="en-GB"/>
              </w:rPr>
              <w:t xml:space="preserve">of products </w:t>
            </w:r>
            <w:r w:rsidRPr="00D40F23">
              <w:rPr>
                <w:b/>
                <w:bCs/>
                <w:lang w:val="en-US" w:eastAsia="en-GB"/>
              </w:rPr>
              <w:t>(</w:t>
            </w:r>
            <w:proofErr w:type="spellStart"/>
            <w:r>
              <w:rPr>
                <w:b/>
                <w:bCs/>
                <w:lang w:val="en-US" w:eastAsia="en-GB"/>
              </w:rPr>
              <w:t>sevices</w:t>
            </w:r>
            <w:proofErr w:type="spellEnd"/>
            <w:r w:rsidRPr="00D40F23">
              <w:rPr>
                <w:b/>
                <w:bCs/>
                <w:lang w:val="en-US" w:eastAsia="en-GB"/>
              </w:rPr>
              <w:t xml:space="preserve">), </w:t>
            </w:r>
            <w:r>
              <w:rPr>
                <w:b/>
                <w:bCs/>
                <w:lang w:val="en-US" w:eastAsia="en-GB"/>
              </w:rPr>
              <w:t>total</w:t>
            </w:r>
          </w:p>
        </w:tc>
        <w:tc>
          <w:tcPr>
            <w:tcW w:w="1217" w:type="pct"/>
            <w:tcBorders>
              <w:top w:val="single" w:sz="4" w:space="0" w:color="auto"/>
              <w:left w:val="nil"/>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b/>
                <w:bCs/>
                <w:lang w:val="ru-RU" w:eastAsia="en-GB"/>
              </w:rPr>
            </w:pPr>
            <w:r w:rsidRPr="001F7594">
              <w:rPr>
                <w:b/>
                <w:bCs/>
                <w:lang w:val="ru-RU" w:eastAsia="en-GB"/>
              </w:rPr>
              <w:t>(78 132 435)</w:t>
            </w:r>
          </w:p>
        </w:tc>
        <w:tc>
          <w:tcPr>
            <w:tcW w:w="1217" w:type="pct"/>
            <w:tcBorders>
              <w:top w:val="single" w:sz="4" w:space="0" w:color="auto"/>
              <w:left w:val="nil"/>
              <w:bottom w:val="single" w:sz="4" w:space="0" w:color="auto"/>
              <w:right w:val="single" w:sz="4" w:space="0" w:color="auto"/>
            </w:tcBorders>
            <w:vAlign w:val="center"/>
          </w:tcPr>
          <w:p w:rsidR="00E261BB" w:rsidRPr="001F7594" w:rsidRDefault="00E261BB" w:rsidP="001F7594">
            <w:pPr>
              <w:ind w:right="57"/>
              <w:jc w:val="center"/>
              <w:rPr>
                <w:b/>
                <w:bCs/>
                <w:lang w:val="ru-RU" w:eastAsia="en-GB"/>
              </w:rPr>
            </w:pPr>
            <w:r w:rsidRPr="001F7594">
              <w:rPr>
                <w:b/>
                <w:bCs/>
                <w:lang w:val="ru-RU" w:eastAsia="en-GB"/>
              </w:rPr>
              <w:t>(</w:t>
            </w:r>
            <w:r>
              <w:rPr>
                <w:b/>
                <w:bCs/>
                <w:lang w:val="ru-RU" w:eastAsia="en-GB"/>
              </w:rPr>
              <w:t>73 947 573</w:t>
            </w:r>
            <w:r w:rsidRPr="001F7594">
              <w:rPr>
                <w:b/>
                <w:bCs/>
                <w:lang w:val="ru-RU" w:eastAsia="en-GB"/>
              </w:rPr>
              <w:t>)</w:t>
            </w:r>
          </w:p>
        </w:tc>
      </w:tr>
      <w:tr w:rsidR="00E261BB" w:rsidRPr="001F7594" w:rsidTr="00E177BA">
        <w:trPr>
          <w:trHeight w:val="300"/>
          <w:jc w:val="center"/>
        </w:trPr>
        <w:tc>
          <w:tcPr>
            <w:tcW w:w="2566" w:type="pct"/>
            <w:tcBorders>
              <w:top w:val="nil"/>
              <w:left w:val="single" w:sz="4" w:space="0" w:color="auto"/>
              <w:bottom w:val="single" w:sz="4" w:space="0" w:color="auto"/>
              <w:right w:val="single" w:sz="4" w:space="0" w:color="auto"/>
            </w:tcBorders>
            <w:shd w:val="clear" w:color="auto" w:fill="auto"/>
            <w:vAlign w:val="center"/>
            <w:hideMark/>
          </w:tcPr>
          <w:p w:rsidR="00E261BB" w:rsidRPr="00836721" w:rsidRDefault="00E261BB" w:rsidP="00F753AD">
            <w:pPr>
              <w:ind w:left="57"/>
              <w:rPr>
                <w:lang w:val="ru-RU" w:eastAsia="en-GB"/>
              </w:rPr>
            </w:pPr>
            <w:proofErr w:type="spellStart"/>
            <w:r w:rsidRPr="00840CEB">
              <w:rPr>
                <w:lang w:val="ru-RU" w:eastAsia="en-GB"/>
              </w:rPr>
              <w:t>from</w:t>
            </w:r>
            <w:proofErr w:type="spellEnd"/>
            <w:r w:rsidRPr="00840CEB">
              <w:rPr>
                <w:lang w:val="ru-RU" w:eastAsia="en-GB"/>
              </w:rPr>
              <w:t xml:space="preserve"> </w:t>
            </w:r>
            <w:proofErr w:type="spellStart"/>
            <w:r w:rsidRPr="00840CEB">
              <w:rPr>
                <w:lang w:val="ru-RU" w:eastAsia="en-GB"/>
              </w:rPr>
              <w:t>electricity</w:t>
            </w:r>
            <w:proofErr w:type="spellEnd"/>
            <w:r w:rsidRPr="00840CEB">
              <w:rPr>
                <w:lang w:val="ru-RU" w:eastAsia="en-GB"/>
              </w:rPr>
              <w:t xml:space="preserve"> </w:t>
            </w:r>
            <w:proofErr w:type="spellStart"/>
            <w:r w:rsidRPr="00840CEB">
              <w:rPr>
                <w:lang w:val="ru-RU" w:eastAsia="en-GB"/>
              </w:rPr>
              <w:t>transmission</w:t>
            </w:r>
            <w:proofErr w:type="spellEnd"/>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lang w:val="ru-RU" w:eastAsia="en-GB"/>
              </w:rPr>
            </w:pPr>
            <w:r w:rsidRPr="001F7594">
              <w:rPr>
                <w:lang w:val="ru-RU" w:eastAsia="en-GB"/>
              </w:rPr>
              <w:t>(63 282 632)</w:t>
            </w:r>
          </w:p>
        </w:tc>
        <w:tc>
          <w:tcPr>
            <w:tcW w:w="1217" w:type="pct"/>
            <w:tcBorders>
              <w:top w:val="single" w:sz="4" w:space="0" w:color="auto"/>
              <w:left w:val="single" w:sz="4" w:space="0" w:color="auto"/>
              <w:bottom w:val="single" w:sz="4" w:space="0" w:color="auto"/>
              <w:right w:val="single" w:sz="4" w:space="0" w:color="auto"/>
            </w:tcBorders>
            <w:vAlign w:val="center"/>
          </w:tcPr>
          <w:p w:rsidR="00E261BB" w:rsidRPr="001F7594" w:rsidRDefault="00E261BB" w:rsidP="001F7594">
            <w:pPr>
              <w:ind w:right="57"/>
              <w:jc w:val="center"/>
              <w:rPr>
                <w:lang w:val="ru-RU" w:eastAsia="en-GB"/>
              </w:rPr>
            </w:pPr>
            <w:r w:rsidRPr="001F7594">
              <w:rPr>
                <w:lang w:val="ru-RU" w:eastAsia="en-GB"/>
              </w:rPr>
              <w:t>(</w:t>
            </w:r>
            <w:r>
              <w:rPr>
                <w:lang w:val="ru-RU" w:eastAsia="en-GB"/>
              </w:rPr>
              <w:t>65 815 002</w:t>
            </w:r>
            <w:r w:rsidRPr="001F7594">
              <w:rPr>
                <w:lang w:val="ru-RU" w:eastAsia="en-GB"/>
              </w:rPr>
              <w:t>)</w:t>
            </w:r>
          </w:p>
        </w:tc>
      </w:tr>
      <w:tr w:rsidR="00E261BB" w:rsidRPr="001F7594" w:rsidTr="00E177BA">
        <w:trPr>
          <w:trHeight w:val="300"/>
          <w:jc w:val="center"/>
        </w:trPr>
        <w:tc>
          <w:tcPr>
            <w:tcW w:w="2566" w:type="pct"/>
            <w:tcBorders>
              <w:top w:val="nil"/>
              <w:left w:val="single" w:sz="4" w:space="0" w:color="auto"/>
              <w:bottom w:val="nil"/>
              <w:right w:val="single" w:sz="4" w:space="0" w:color="auto"/>
            </w:tcBorders>
            <w:shd w:val="clear" w:color="auto" w:fill="auto"/>
            <w:vAlign w:val="center"/>
            <w:hideMark/>
          </w:tcPr>
          <w:p w:rsidR="00E261BB" w:rsidRPr="00836721" w:rsidRDefault="00E261BB" w:rsidP="00F753AD">
            <w:pPr>
              <w:ind w:left="57"/>
              <w:rPr>
                <w:color w:val="000000"/>
                <w:lang w:val="ru-RU" w:eastAsia="en-GB"/>
              </w:rPr>
            </w:pPr>
            <w:proofErr w:type="spellStart"/>
            <w:r w:rsidRPr="00840CEB">
              <w:rPr>
                <w:color w:val="000000"/>
                <w:lang w:val="ru-RU" w:eastAsia="en-GB"/>
              </w:rPr>
              <w:t>from</w:t>
            </w:r>
            <w:proofErr w:type="spellEnd"/>
            <w:r w:rsidRPr="00840CEB">
              <w:rPr>
                <w:color w:val="000000"/>
                <w:lang w:val="ru-RU" w:eastAsia="en-GB"/>
              </w:rPr>
              <w:t xml:space="preserve"> </w:t>
            </w:r>
            <w:proofErr w:type="spellStart"/>
            <w:r w:rsidRPr="00840CEB">
              <w:rPr>
                <w:color w:val="000000"/>
                <w:lang w:val="ru-RU" w:eastAsia="en-GB"/>
              </w:rPr>
              <w:t>electricity</w:t>
            </w:r>
            <w:proofErr w:type="spellEnd"/>
            <w:r w:rsidRPr="00840CEB">
              <w:rPr>
                <w:color w:val="000000"/>
                <w:lang w:val="ru-RU" w:eastAsia="en-GB"/>
              </w:rPr>
              <w:t xml:space="preserve"> </w:t>
            </w:r>
            <w:proofErr w:type="spellStart"/>
            <w:r w:rsidRPr="00840CEB">
              <w:rPr>
                <w:color w:val="000000"/>
                <w:lang w:val="ru-RU" w:eastAsia="en-GB"/>
              </w:rPr>
              <w:t>sale</w:t>
            </w:r>
            <w:proofErr w:type="spellEnd"/>
            <w:r w:rsidRPr="00836721">
              <w:rPr>
                <w:color w:val="000000"/>
                <w:lang w:val="ru-RU" w:eastAsia="en-GB"/>
              </w:rPr>
              <w:t>*</w:t>
            </w:r>
          </w:p>
        </w:tc>
        <w:tc>
          <w:tcPr>
            <w:tcW w:w="1217" w:type="pct"/>
            <w:tcBorders>
              <w:top w:val="nil"/>
              <w:left w:val="nil"/>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lang w:val="ru-RU" w:eastAsia="en-GB"/>
              </w:rPr>
            </w:pPr>
            <w:r w:rsidRPr="001F7594">
              <w:rPr>
                <w:lang w:val="ru-RU" w:eastAsia="en-GB"/>
              </w:rPr>
              <w:t>(14 146 272)</w:t>
            </w:r>
          </w:p>
        </w:tc>
        <w:tc>
          <w:tcPr>
            <w:tcW w:w="1217" w:type="pct"/>
            <w:tcBorders>
              <w:top w:val="nil"/>
              <w:left w:val="nil"/>
              <w:bottom w:val="single" w:sz="4" w:space="0" w:color="auto"/>
              <w:right w:val="single" w:sz="4" w:space="0" w:color="auto"/>
            </w:tcBorders>
            <w:vAlign w:val="center"/>
          </w:tcPr>
          <w:p w:rsidR="00E261BB" w:rsidRPr="001F7594" w:rsidRDefault="00E261BB" w:rsidP="001F7594">
            <w:pPr>
              <w:ind w:right="57"/>
              <w:jc w:val="center"/>
              <w:rPr>
                <w:lang w:val="ru-RU" w:eastAsia="en-GB"/>
              </w:rPr>
            </w:pPr>
            <w:r>
              <w:rPr>
                <w:lang w:val="ru-RU" w:eastAsia="en-GB"/>
              </w:rPr>
              <w:t>(7 349 508)</w:t>
            </w:r>
          </w:p>
        </w:tc>
      </w:tr>
      <w:tr w:rsidR="00E261BB" w:rsidRPr="001F7594" w:rsidTr="00E177BA">
        <w:trPr>
          <w:trHeight w:val="300"/>
          <w:jc w:val="center"/>
        </w:trPr>
        <w:tc>
          <w:tcPr>
            <w:tcW w:w="2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61BB" w:rsidRPr="00840CEB" w:rsidRDefault="00E261BB" w:rsidP="00F753AD">
            <w:pPr>
              <w:ind w:left="57"/>
              <w:rPr>
                <w:lang w:val="en-US" w:eastAsia="en-GB"/>
              </w:rPr>
            </w:pPr>
            <w:r w:rsidRPr="00840CEB">
              <w:rPr>
                <w:lang w:val="en-US" w:eastAsia="en-GB"/>
              </w:rPr>
              <w:t>from other products (services) of core activities</w:t>
            </w:r>
          </w:p>
        </w:tc>
        <w:tc>
          <w:tcPr>
            <w:tcW w:w="1217" w:type="pct"/>
            <w:tcBorders>
              <w:top w:val="nil"/>
              <w:left w:val="single" w:sz="4" w:space="0" w:color="auto"/>
              <w:bottom w:val="single" w:sz="4" w:space="0" w:color="auto"/>
              <w:right w:val="single" w:sz="4" w:space="0" w:color="auto"/>
            </w:tcBorders>
            <w:shd w:val="clear" w:color="auto" w:fill="auto"/>
            <w:vAlign w:val="center"/>
            <w:hideMark/>
          </w:tcPr>
          <w:p w:rsidR="00E261BB" w:rsidRPr="001F7594" w:rsidRDefault="00E261BB" w:rsidP="001F7594">
            <w:pPr>
              <w:ind w:right="57"/>
              <w:jc w:val="center"/>
              <w:rPr>
                <w:lang w:val="ru-RU" w:eastAsia="en-GB"/>
              </w:rPr>
            </w:pPr>
            <w:r w:rsidRPr="001F7594">
              <w:rPr>
                <w:lang w:val="ru-RU" w:eastAsia="en-GB"/>
              </w:rPr>
              <w:t>(703 531)</w:t>
            </w:r>
          </w:p>
        </w:tc>
        <w:tc>
          <w:tcPr>
            <w:tcW w:w="1217" w:type="pct"/>
            <w:tcBorders>
              <w:top w:val="nil"/>
              <w:left w:val="single" w:sz="4" w:space="0" w:color="auto"/>
              <w:bottom w:val="single" w:sz="4" w:space="0" w:color="auto"/>
              <w:right w:val="single" w:sz="4" w:space="0" w:color="auto"/>
            </w:tcBorders>
            <w:vAlign w:val="center"/>
          </w:tcPr>
          <w:p w:rsidR="00E261BB" w:rsidRPr="001F7594" w:rsidRDefault="00E261BB" w:rsidP="001F7594">
            <w:pPr>
              <w:ind w:right="57"/>
              <w:jc w:val="center"/>
              <w:rPr>
                <w:lang w:val="ru-RU" w:eastAsia="en-GB"/>
              </w:rPr>
            </w:pPr>
            <w:r w:rsidRPr="001F7594">
              <w:rPr>
                <w:lang w:val="ru-RU" w:eastAsia="en-GB"/>
              </w:rPr>
              <w:t>(</w:t>
            </w:r>
            <w:r>
              <w:rPr>
                <w:lang w:val="ru-RU" w:eastAsia="en-GB"/>
              </w:rPr>
              <w:t>783 063</w:t>
            </w:r>
            <w:r w:rsidRPr="001F7594">
              <w:rPr>
                <w:lang w:val="ru-RU" w:eastAsia="en-GB"/>
              </w:rPr>
              <w:t>)</w:t>
            </w:r>
          </w:p>
        </w:tc>
      </w:tr>
    </w:tbl>
    <w:p w:rsidR="00C615E9" w:rsidRPr="00836721" w:rsidRDefault="00C54790" w:rsidP="006B4EFE">
      <w:pPr>
        <w:pStyle w:val="ab"/>
        <w:spacing w:before="120"/>
        <w:ind w:left="0"/>
        <w:contextualSpacing w:val="0"/>
        <w:rPr>
          <w:sz w:val="24"/>
          <w:szCs w:val="24"/>
          <w:lang w:val="ru-RU" w:eastAsia="ru-RU"/>
        </w:rPr>
      </w:pPr>
      <w:r w:rsidRPr="001F7594">
        <w:rPr>
          <w:sz w:val="24"/>
          <w:szCs w:val="24"/>
          <w:lang w:val="ru-RU" w:eastAsia="ru-RU"/>
        </w:rPr>
        <w:t xml:space="preserve">*- </w:t>
      </w:r>
      <w:proofErr w:type="spellStart"/>
      <w:r w:rsidR="00AC0030" w:rsidRPr="007C5518">
        <w:rPr>
          <w:sz w:val="24"/>
          <w:szCs w:val="24"/>
          <w:lang w:val="ru-RU" w:eastAsia="ru-RU"/>
        </w:rPr>
        <w:t>excluding</w:t>
      </w:r>
      <w:proofErr w:type="spellEnd"/>
      <w:r w:rsidR="00AC0030" w:rsidRPr="007C5518">
        <w:rPr>
          <w:sz w:val="24"/>
          <w:szCs w:val="24"/>
          <w:lang w:val="ru-RU" w:eastAsia="ru-RU"/>
        </w:rPr>
        <w:t xml:space="preserve"> </w:t>
      </w:r>
      <w:proofErr w:type="spellStart"/>
      <w:r w:rsidR="00AC0030" w:rsidRPr="007C5518">
        <w:rPr>
          <w:sz w:val="24"/>
          <w:szCs w:val="24"/>
          <w:lang w:val="ru-RU" w:eastAsia="ru-RU"/>
        </w:rPr>
        <w:t>the</w:t>
      </w:r>
      <w:proofErr w:type="spellEnd"/>
      <w:r w:rsidR="00AC0030" w:rsidRPr="007C5518">
        <w:rPr>
          <w:sz w:val="24"/>
          <w:szCs w:val="24"/>
          <w:lang w:val="ru-RU" w:eastAsia="ru-RU"/>
        </w:rPr>
        <w:t xml:space="preserve"> </w:t>
      </w:r>
      <w:proofErr w:type="spellStart"/>
      <w:r w:rsidR="00AC0030" w:rsidRPr="007C5518">
        <w:rPr>
          <w:sz w:val="24"/>
          <w:szCs w:val="24"/>
          <w:lang w:val="ru-RU" w:eastAsia="ru-RU"/>
        </w:rPr>
        <w:t>delivery</w:t>
      </w:r>
      <w:proofErr w:type="spellEnd"/>
      <w:r w:rsidR="00AC0030" w:rsidRPr="007C5518">
        <w:rPr>
          <w:sz w:val="24"/>
          <w:szCs w:val="24"/>
          <w:lang w:val="ru-RU" w:eastAsia="ru-RU"/>
        </w:rPr>
        <w:t xml:space="preserve"> </w:t>
      </w:r>
      <w:proofErr w:type="spellStart"/>
      <w:r w:rsidR="00AC0030" w:rsidRPr="007C5518">
        <w:rPr>
          <w:sz w:val="24"/>
          <w:szCs w:val="24"/>
          <w:lang w:val="ru-RU" w:eastAsia="ru-RU"/>
        </w:rPr>
        <w:t>component</w:t>
      </w:r>
      <w:proofErr w:type="spellEnd"/>
      <w:r w:rsidRPr="001F7594">
        <w:rPr>
          <w:sz w:val="24"/>
          <w:szCs w:val="24"/>
          <w:lang w:val="ru-RU" w:eastAsia="ru-RU"/>
        </w:rPr>
        <w:t>.</w:t>
      </w:r>
    </w:p>
    <w:p w:rsidR="007F39D3" w:rsidRDefault="007F39D3" w:rsidP="00791AF5">
      <w:pPr>
        <w:pStyle w:val="8"/>
        <w:numPr>
          <w:ilvl w:val="0"/>
          <w:numId w:val="0"/>
        </w:numPr>
        <w:ind w:left="786"/>
      </w:pPr>
      <w:bookmarkStart w:id="19" w:name="_Toc381196258"/>
      <w:bookmarkStart w:id="20" w:name="_Toc381196484"/>
      <w:bookmarkStart w:id="21" w:name="_Toc381199125"/>
      <w:bookmarkStart w:id="22" w:name="_Toc381199338"/>
      <w:bookmarkStart w:id="23" w:name="_Toc381199339"/>
      <w:bookmarkEnd w:id="19"/>
      <w:bookmarkEnd w:id="20"/>
      <w:bookmarkEnd w:id="21"/>
      <w:bookmarkEnd w:id="22"/>
    </w:p>
    <w:p w:rsidR="0052070D" w:rsidRPr="00C60265" w:rsidRDefault="00430772" w:rsidP="00E37AB5">
      <w:pPr>
        <w:pStyle w:val="8"/>
        <w:numPr>
          <w:ilvl w:val="1"/>
          <w:numId w:val="7"/>
        </w:numPr>
        <w:ind w:left="990" w:hanging="564"/>
      </w:pPr>
      <w:r>
        <w:t xml:space="preserve">       </w:t>
      </w:r>
      <w:bookmarkEnd w:id="23"/>
      <w:r w:rsidR="00F02980">
        <w:rPr>
          <w:lang w:val="en-US"/>
        </w:rPr>
        <w:t>I</w:t>
      </w:r>
      <w:proofErr w:type="spellStart"/>
      <w:r w:rsidR="00F02980" w:rsidRPr="00C9788F">
        <w:t>nformation</w:t>
      </w:r>
      <w:proofErr w:type="spellEnd"/>
      <w:r w:rsidR="00F02980" w:rsidRPr="00C9788F">
        <w:t xml:space="preserve"> </w:t>
      </w:r>
      <w:proofErr w:type="spellStart"/>
      <w:r w:rsidR="00F02980" w:rsidRPr="00C9788F">
        <w:t>on</w:t>
      </w:r>
      <w:proofErr w:type="spellEnd"/>
      <w:r w:rsidR="00F02980" w:rsidRPr="00C9788F">
        <w:t xml:space="preserve"> </w:t>
      </w:r>
      <w:proofErr w:type="spellStart"/>
      <w:r w:rsidR="00F02980" w:rsidRPr="00C9788F">
        <w:t>expenses</w:t>
      </w:r>
      <w:proofErr w:type="spellEnd"/>
    </w:p>
    <w:p w:rsidR="00F77C5B" w:rsidRPr="00836721" w:rsidRDefault="00F77C5B" w:rsidP="00EE5710">
      <w:pPr>
        <w:ind w:left="360"/>
        <w:jc w:val="both"/>
        <w:rPr>
          <w:b/>
          <w:bCs/>
          <w:i/>
          <w:iCs/>
          <w:sz w:val="24"/>
          <w:szCs w:val="24"/>
          <w:lang w:val="ru-RU" w:eastAsia="ru-RU"/>
        </w:rPr>
      </w:pPr>
    </w:p>
    <w:p w:rsidR="00FF147D" w:rsidRPr="00F02980" w:rsidRDefault="00F02980" w:rsidP="008B3678">
      <w:pPr>
        <w:ind w:firstLine="709"/>
        <w:jc w:val="both"/>
        <w:rPr>
          <w:sz w:val="24"/>
          <w:szCs w:val="24"/>
          <w:lang w:val="en-US" w:eastAsia="ru-RU"/>
        </w:rPr>
      </w:pPr>
      <w:r w:rsidRPr="00C9788F">
        <w:rPr>
          <w:sz w:val="24"/>
          <w:szCs w:val="24"/>
          <w:lang w:val="en-US" w:eastAsia="ru-RU"/>
        </w:rPr>
        <w:lastRenderedPageBreak/>
        <w:t>Expenses for the accounting year are included in the profit and loss statement separately on ordinary activities and on miscellaneous costs with breakdown by kinds and values</w:t>
      </w:r>
      <w:r w:rsidR="0052070D" w:rsidRPr="00F02980">
        <w:rPr>
          <w:sz w:val="24"/>
          <w:szCs w:val="24"/>
          <w:lang w:val="en-US" w:eastAsia="ru-RU"/>
        </w:rPr>
        <w:t xml:space="preserve">. </w:t>
      </w:r>
    </w:p>
    <w:p w:rsidR="006B4EFE" w:rsidRPr="00F02980" w:rsidRDefault="006B4EFE" w:rsidP="008B3678">
      <w:pPr>
        <w:ind w:firstLine="709"/>
        <w:jc w:val="both"/>
        <w:rPr>
          <w:sz w:val="24"/>
          <w:szCs w:val="24"/>
          <w:lang w:val="en-US" w:eastAsia="ru-RU"/>
        </w:rPr>
      </w:pPr>
    </w:p>
    <w:p w:rsidR="0021349F" w:rsidRPr="00F02980" w:rsidRDefault="00F02980" w:rsidP="0021349F">
      <w:pPr>
        <w:ind w:firstLine="709"/>
        <w:jc w:val="both"/>
        <w:rPr>
          <w:sz w:val="24"/>
          <w:szCs w:val="24"/>
          <w:lang w:val="en-US" w:eastAsia="ru-RU"/>
        </w:rPr>
      </w:pPr>
      <w:r w:rsidRPr="00C335F7">
        <w:rPr>
          <w:sz w:val="24"/>
          <w:szCs w:val="24"/>
          <w:lang w:val="en-US" w:eastAsia="ru-RU"/>
        </w:rPr>
        <w:t xml:space="preserve">Expenses on ordinary activities broken down to elements of costs are included in the explanatory note to the accounting balance sheet and the profit and loss statement in table </w:t>
      </w:r>
      <w:r w:rsidR="0021349F" w:rsidRPr="00F02980">
        <w:rPr>
          <w:sz w:val="24"/>
          <w:szCs w:val="24"/>
          <w:lang w:val="en-US" w:eastAsia="ru-RU"/>
        </w:rPr>
        <w:t>2.1.</w:t>
      </w:r>
    </w:p>
    <w:p w:rsidR="00E227CF" w:rsidRPr="00F02980" w:rsidRDefault="00E227CF" w:rsidP="0021349F">
      <w:pPr>
        <w:ind w:firstLine="709"/>
        <w:jc w:val="both"/>
        <w:rPr>
          <w:sz w:val="16"/>
          <w:szCs w:val="16"/>
          <w:lang w:val="en-US" w:eastAsia="ru-RU"/>
        </w:rPr>
      </w:pPr>
    </w:p>
    <w:p w:rsidR="0021349F" w:rsidRPr="00F02980" w:rsidRDefault="00F02980" w:rsidP="0021349F">
      <w:pPr>
        <w:ind w:firstLine="709"/>
        <w:jc w:val="both"/>
        <w:rPr>
          <w:sz w:val="24"/>
          <w:szCs w:val="24"/>
          <w:lang w:val="en-US" w:eastAsia="ru-RU"/>
        </w:rPr>
      </w:pPr>
      <w:r w:rsidRPr="00F62D88">
        <w:rPr>
          <w:sz w:val="24"/>
          <w:szCs w:val="24"/>
          <w:lang w:val="en-US" w:eastAsia="ru-RU"/>
        </w:rPr>
        <w:t>Other</w:t>
      </w:r>
      <w:r w:rsidRPr="00684DF4">
        <w:rPr>
          <w:sz w:val="24"/>
          <w:szCs w:val="24"/>
          <w:lang w:val="en-US" w:eastAsia="ru-RU"/>
        </w:rPr>
        <w:t xml:space="preserve"> </w:t>
      </w:r>
      <w:r w:rsidRPr="00C9788F">
        <w:rPr>
          <w:sz w:val="24"/>
          <w:szCs w:val="24"/>
          <w:lang w:val="en-US" w:eastAsia="ru-RU"/>
        </w:rPr>
        <w:t>costs</w:t>
      </w:r>
      <w:r w:rsidRPr="00684DF4">
        <w:rPr>
          <w:sz w:val="24"/>
          <w:szCs w:val="24"/>
          <w:lang w:val="en-US" w:eastAsia="ru-RU"/>
        </w:rPr>
        <w:t xml:space="preserve"> are included in the explanatory note to the accounting balance sheet and the profit and loss statement in </w:t>
      </w:r>
      <w:r>
        <w:rPr>
          <w:sz w:val="24"/>
          <w:szCs w:val="24"/>
          <w:lang w:val="en-US" w:eastAsia="ru-RU"/>
        </w:rPr>
        <w:t xml:space="preserve">table </w:t>
      </w:r>
      <w:r w:rsidR="0021349F" w:rsidRPr="00F02980">
        <w:rPr>
          <w:sz w:val="24"/>
          <w:szCs w:val="24"/>
          <w:lang w:val="en-US" w:eastAsia="ru-RU"/>
        </w:rPr>
        <w:t>5.11.</w:t>
      </w:r>
    </w:p>
    <w:p w:rsidR="009959D5" w:rsidRPr="00F02980" w:rsidRDefault="009959D5" w:rsidP="0002335A">
      <w:pPr>
        <w:ind w:firstLine="709"/>
        <w:jc w:val="both"/>
        <w:rPr>
          <w:sz w:val="24"/>
          <w:szCs w:val="24"/>
          <w:lang w:val="en-US" w:eastAsia="ru-RU"/>
        </w:rPr>
      </w:pPr>
    </w:p>
    <w:p w:rsidR="00433264" w:rsidRPr="005338E7" w:rsidRDefault="00DD0736" w:rsidP="00433264">
      <w:pPr>
        <w:ind w:firstLine="709"/>
        <w:jc w:val="both"/>
        <w:rPr>
          <w:sz w:val="24"/>
          <w:szCs w:val="24"/>
          <w:lang w:val="ru-RU" w:eastAsia="ru-RU"/>
        </w:rPr>
      </w:pPr>
      <w:r w:rsidRPr="00AA1286">
        <w:rPr>
          <w:sz w:val="24"/>
          <w:szCs w:val="24"/>
          <w:lang w:val="en-US" w:eastAsia="ru-RU"/>
        </w:rPr>
        <w:t>As</w:t>
      </w:r>
      <w:r w:rsidRPr="00AA7F3B">
        <w:rPr>
          <w:sz w:val="24"/>
          <w:szCs w:val="24"/>
          <w:lang w:val="en-US" w:eastAsia="ru-RU"/>
        </w:rPr>
        <w:t xml:space="preserve"> </w:t>
      </w:r>
      <w:r w:rsidRPr="00AA1286">
        <w:rPr>
          <w:sz w:val="24"/>
          <w:szCs w:val="24"/>
          <w:lang w:val="en-US" w:eastAsia="ru-RU"/>
        </w:rPr>
        <w:t>at</w:t>
      </w:r>
      <w:r w:rsidRPr="00AA7F3B">
        <w:rPr>
          <w:sz w:val="24"/>
          <w:szCs w:val="24"/>
          <w:lang w:val="en-US" w:eastAsia="ru-RU"/>
        </w:rPr>
        <w:t xml:space="preserve"> </w:t>
      </w:r>
      <w:r w:rsidR="00433264" w:rsidRPr="00AA7F3B">
        <w:rPr>
          <w:sz w:val="24"/>
          <w:szCs w:val="24"/>
          <w:lang w:val="en-US" w:eastAsia="ru-RU"/>
        </w:rPr>
        <w:t xml:space="preserve">31 </w:t>
      </w:r>
      <w:r>
        <w:rPr>
          <w:sz w:val="24"/>
          <w:szCs w:val="24"/>
          <w:lang w:val="en-US" w:eastAsia="ru-RU"/>
        </w:rPr>
        <w:t>December</w:t>
      </w:r>
      <w:r w:rsidR="00433264" w:rsidRPr="00AA7F3B">
        <w:rPr>
          <w:sz w:val="24"/>
          <w:szCs w:val="24"/>
          <w:lang w:val="en-US" w:eastAsia="ru-RU"/>
        </w:rPr>
        <w:t xml:space="preserve"> 2014 </w:t>
      </w:r>
      <w:r w:rsidR="00AA7F3B">
        <w:rPr>
          <w:sz w:val="24"/>
          <w:szCs w:val="24"/>
          <w:lang w:val="en-US" w:eastAsia="ru-RU"/>
        </w:rPr>
        <w:t>t</w:t>
      </w:r>
      <w:r w:rsidR="00AA7F3B" w:rsidRPr="003F1FA3">
        <w:rPr>
          <w:sz w:val="24"/>
          <w:szCs w:val="24"/>
          <w:lang w:val="en-US" w:eastAsia="ru-RU"/>
        </w:rPr>
        <w:t xml:space="preserve">he Company recorded deferred expenses in </w:t>
      </w:r>
      <w:proofErr w:type="gramStart"/>
      <w:r w:rsidR="00AA7F3B">
        <w:rPr>
          <w:sz w:val="24"/>
          <w:szCs w:val="24"/>
          <w:lang w:val="en-US" w:eastAsia="ru-RU"/>
        </w:rPr>
        <w:t>O</w:t>
      </w:r>
      <w:r w:rsidR="00AA7F3B" w:rsidRPr="003F1FA3">
        <w:rPr>
          <w:sz w:val="24"/>
          <w:szCs w:val="24"/>
          <w:lang w:val="en-US" w:eastAsia="ru-RU"/>
        </w:rPr>
        <w:t>ther</w:t>
      </w:r>
      <w:proofErr w:type="gramEnd"/>
      <w:r w:rsidR="00AA7F3B" w:rsidRPr="003F1FA3">
        <w:rPr>
          <w:sz w:val="24"/>
          <w:szCs w:val="24"/>
          <w:lang w:val="en-US" w:eastAsia="ru-RU"/>
        </w:rPr>
        <w:t xml:space="preserve"> non-current assets and </w:t>
      </w:r>
      <w:r w:rsidR="00AA7F3B">
        <w:rPr>
          <w:sz w:val="24"/>
          <w:szCs w:val="24"/>
          <w:lang w:val="en-US" w:eastAsia="ru-RU"/>
        </w:rPr>
        <w:t>O</w:t>
      </w:r>
      <w:r w:rsidR="00AA7F3B" w:rsidRPr="003F1FA3">
        <w:rPr>
          <w:sz w:val="24"/>
          <w:szCs w:val="24"/>
          <w:lang w:val="en-US" w:eastAsia="ru-RU"/>
        </w:rPr>
        <w:t xml:space="preserve">ther current assets in the amount of </w:t>
      </w:r>
      <w:r w:rsidR="00433264" w:rsidRPr="00AA7F3B">
        <w:rPr>
          <w:sz w:val="24"/>
          <w:szCs w:val="24"/>
          <w:lang w:val="en-US" w:eastAsia="ru-RU"/>
        </w:rPr>
        <w:t xml:space="preserve">453,202 </w:t>
      </w:r>
      <w:proofErr w:type="spellStart"/>
      <w:r w:rsidR="008F47BD" w:rsidRPr="00AA7F3B">
        <w:rPr>
          <w:sz w:val="24"/>
          <w:szCs w:val="24"/>
          <w:lang w:val="en-US" w:eastAsia="ru-RU"/>
        </w:rPr>
        <w:t>thous</w:t>
      </w:r>
      <w:proofErr w:type="spellEnd"/>
      <w:r w:rsidR="008F47BD" w:rsidRPr="00AA7F3B">
        <w:rPr>
          <w:sz w:val="24"/>
          <w:szCs w:val="24"/>
          <w:lang w:val="en-US" w:eastAsia="ru-RU"/>
        </w:rPr>
        <w:t xml:space="preserve">. </w:t>
      </w:r>
      <w:r w:rsidR="008F47BD">
        <w:rPr>
          <w:sz w:val="24"/>
          <w:szCs w:val="24"/>
          <w:lang w:val="ru-RU" w:eastAsia="ru-RU"/>
        </w:rPr>
        <w:t>RUB</w:t>
      </w:r>
      <w:r w:rsidR="00433264" w:rsidRPr="005338E7">
        <w:rPr>
          <w:sz w:val="24"/>
          <w:szCs w:val="24"/>
          <w:lang w:val="ru-RU" w:eastAsia="ru-RU"/>
        </w:rPr>
        <w:t xml:space="preserve"> </w:t>
      </w:r>
      <w:r w:rsidR="00AA7F3B">
        <w:rPr>
          <w:sz w:val="24"/>
          <w:szCs w:val="24"/>
          <w:lang w:val="en-US" w:eastAsia="ru-RU"/>
        </w:rPr>
        <w:t>and</w:t>
      </w:r>
      <w:r w:rsidR="00433264" w:rsidRPr="005338E7">
        <w:rPr>
          <w:sz w:val="24"/>
          <w:szCs w:val="24"/>
          <w:lang w:val="ru-RU" w:eastAsia="ru-RU"/>
        </w:rPr>
        <w:t xml:space="preserve"> 17,333 </w:t>
      </w:r>
      <w:proofErr w:type="spellStart"/>
      <w:r w:rsidR="008F47BD">
        <w:rPr>
          <w:sz w:val="24"/>
          <w:szCs w:val="24"/>
          <w:lang w:val="ru-RU" w:eastAsia="ru-RU"/>
        </w:rPr>
        <w:t>thous</w:t>
      </w:r>
      <w:proofErr w:type="spellEnd"/>
      <w:r w:rsidR="008F47BD">
        <w:rPr>
          <w:sz w:val="24"/>
          <w:szCs w:val="24"/>
          <w:lang w:val="ru-RU" w:eastAsia="ru-RU"/>
        </w:rPr>
        <w:t>. RUB</w:t>
      </w:r>
      <w:r w:rsidR="00AA7F3B">
        <w:rPr>
          <w:sz w:val="24"/>
          <w:szCs w:val="24"/>
          <w:lang w:val="en-US" w:eastAsia="ru-RU"/>
        </w:rPr>
        <w:t>,</w:t>
      </w:r>
      <w:r w:rsidR="00433264" w:rsidRPr="005338E7">
        <w:rPr>
          <w:sz w:val="24"/>
          <w:szCs w:val="24"/>
          <w:lang w:val="ru-RU" w:eastAsia="ru-RU"/>
        </w:rPr>
        <w:t xml:space="preserve"> </w:t>
      </w:r>
      <w:r w:rsidR="00AA7F3B" w:rsidRPr="003F1FA3">
        <w:rPr>
          <w:sz w:val="24"/>
          <w:szCs w:val="24"/>
          <w:lang w:val="en-US" w:eastAsia="ru-RU"/>
        </w:rPr>
        <w:t>respectively</w:t>
      </w:r>
      <w:r w:rsidR="00433264" w:rsidRPr="005338E7">
        <w:rPr>
          <w:sz w:val="24"/>
          <w:szCs w:val="24"/>
          <w:lang w:val="ru-RU" w:eastAsia="ru-RU"/>
        </w:rPr>
        <w:t>.</w:t>
      </w:r>
    </w:p>
    <w:p w:rsidR="00C45975" w:rsidRDefault="00C45975" w:rsidP="0002335A">
      <w:pPr>
        <w:ind w:firstLine="709"/>
        <w:jc w:val="both"/>
        <w:rPr>
          <w:sz w:val="24"/>
          <w:szCs w:val="24"/>
          <w:lang w:val="ru-RU" w:eastAsia="ru-RU"/>
        </w:rPr>
      </w:pPr>
    </w:p>
    <w:p w:rsidR="008041DF" w:rsidRPr="00836721" w:rsidRDefault="008041DF" w:rsidP="0002335A">
      <w:pPr>
        <w:ind w:firstLine="709"/>
        <w:jc w:val="both"/>
        <w:rPr>
          <w:sz w:val="24"/>
          <w:szCs w:val="24"/>
          <w:lang w:val="ru-RU" w:eastAsia="ru-RU"/>
        </w:rPr>
      </w:pPr>
    </w:p>
    <w:p w:rsidR="00FF147D" w:rsidRPr="00C60265" w:rsidRDefault="00407247" w:rsidP="00E37AB5">
      <w:pPr>
        <w:pStyle w:val="8"/>
        <w:numPr>
          <w:ilvl w:val="1"/>
          <w:numId w:val="7"/>
        </w:numPr>
        <w:ind w:left="990" w:hanging="540"/>
      </w:pPr>
      <w:bookmarkStart w:id="24" w:name="_Toc381199340"/>
      <w:r>
        <w:t xml:space="preserve">     </w:t>
      </w:r>
      <w:r w:rsidR="00430772">
        <w:t xml:space="preserve">   </w:t>
      </w:r>
      <w:bookmarkEnd w:id="24"/>
      <w:r w:rsidR="00DD0736">
        <w:rPr>
          <w:lang w:val="en-US"/>
        </w:rPr>
        <w:t>I</w:t>
      </w:r>
      <w:r w:rsidR="00DD0736" w:rsidRPr="007320FC">
        <w:rPr>
          <w:lang w:val="en-US"/>
        </w:rPr>
        <w:t>nformation on related parties</w:t>
      </w:r>
    </w:p>
    <w:p w:rsidR="00C51F84" w:rsidRPr="009B2D22" w:rsidRDefault="00C51F84" w:rsidP="009B2D22">
      <w:pPr>
        <w:ind w:firstLine="709"/>
        <w:jc w:val="both"/>
        <w:rPr>
          <w:rFonts w:ascii="13" w:hAnsi="13"/>
          <w:b/>
          <w:sz w:val="18"/>
          <w:szCs w:val="18"/>
          <w:lang w:val="ru-RU"/>
        </w:rPr>
      </w:pPr>
    </w:p>
    <w:p w:rsidR="00EE27E3" w:rsidRPr="00D2798E" w:rsidRDefault="00D2798E" w:rsidP="009B2D22">
      <w:pPr>
        <w:pStyle w:val="arus"/>
        <w:tabs>
          <w:tab w:val="left" w:pos="448"/>
        </w:tabs>
        <w:spacing w:before="100" w:after="80"/>
        <w:ind w:left="0" w:firstLine="720"/>
        <w:jc w:val="both"/>
        <w:rPr>
          <w:sz w:val="24"/>
          <w:szCs w:val="24"/>
          <w:lang w:val="en-US" w:eastAsia="ru-RU"/>
        </w:rPr>
      </w:pPr>
      <w:r>
        <w:rPr>
          <w:sz w:val="24"/>
          <w:szCs w:val="24"/>
          <w:lang w:val="en-US" w:eastAsia="ru-RU"/>
        </w:rPr>
        <w:t xml:space="preserve">In the explanatory note the Company disclosed the </w:t>
      </w:r>
      <w:r w:rsidRPr="00144B47">
        <w:rPr>
          <w:sz w:val="24"/>
          <w:szCs w:val="24"/>
          <w:lang w:val="en-US" w:eastAsia="ru-RU"/>
        </w:rPr>
        <w:t>information on the related parties</w:t>
      </w:r>
      <w:r w:rsidR="00EE27E3" w:rsidRPr="00D2798E">
        <w:rPr>
          <w:sz w:val="24"/>
          <w:szCs w:val="24"/>
          <w:lang w:val="en-US" w:eastAsia="ru-RU"/>
        </w:rPr>
        <w:t xml:space="preserve">. </w:t>
      </w:r>
    </w:p>
    <w:p w:rsidR="009B2D22" w:rsidRPr="00D2798E" w:rsidRDefault="009B2D22" w:rsidP="009B2D22">
      <w:pPr>
        <w:pStyle w:val="arus"/>
        <w:tabs>
          <w:tab w:val="left" w:pos="448"/>
        </w:tabs>
        <w:spacing w:before="0" w:after="0"/>
        <w:ind w:left="0" w:firstLine="720"/>
        <w:contextualSpacing w:val="0"/>
        <w:jc w:val="both"/>
        <w:rPr>
          <w:rFonts w:eastAsia="Times New Roman"/>
          <w:sz w:val="24"/>
          <w:szCs w:val="24"/>
          <w:lang w:val="en-US" w:eastAsia="ru-RU"/>
        </w:rPr>
      </w:pPr>
    </w:p>
    <w:p w:rsidR="000771AD" w:rsidRPr="00D2798E" w:rsidRDefault="00D2798E" w:rsidP="00E177BA">
      <w:pPr>
        <w:pStyle w:val="arus"/>
        <w:tabs>
          <w:tab w:val="left" w:pos="448"/>
        </w:tabs>
        <w:spacing w:before="100" w:after="80"/>
        <w:ind w:left="0" w:firstLine="720"/>
        <w:jc w:val="both"/>
        <w:rPr>
          <w:rFonts w:eastAsia="Times New Roman"/>
          <w:sz w:val="24"/>
          <w:szCs w:val="24"/>
          <w:lang w:val="en-US" w:eastAsia="ru-RU"/>
        </w:rPr>
      </w:pPr>
      <w:r w:rsidRPr="00AA7A25">
        <w:rPr>
          <w:rFonts w:eastAsia="Times New Roman"/>
          <w:sz w:val="24"/>
          <w:szCs w:val="24"/>
          <w:lang w:val="en-US" w:eastAsia="ru-RU"/>
        </w:rPr>
        <w:t>Related parties are legal and (or) individuals capable of influencing the activities of the Company, or over which the Company is able to influence</w:t>
      </w:r>
      <w:r w:rsidR="00E617C0" w:rsidRPr="00D2798E">
        <w:rPr>
          <w:rFonts w:eastAsia="Times New Roman"/>
          <w:sz w:val="24"/>
          <w:szCs w:val="24"/>
          <w:lang w:val="en-US" w:eastAsia="ru-RU"/>
        </w:rPr>
        <w:t>.</w:t>
      </w:r>
      <w:r w:rsidR="00C41B5A" w:rsidRPr="00D2798E">
        <w:rPr>
          <w:rFonts w:eastAsia="Times New Roman"/>
          <w:sz w:val="24"/>
          <w:szCs w:val="24"/>
          <w:lang w:val="en-US" w:eastAsia="ru-RU"/>
        </w:rPr>
        <w:t xml:space="preserve"> </w:t>
      </w:r>
    </w:p>
    <w:p w:rsidR="009B2D22" w:rsidRPr="00D2798E" w:rsidRDefault="009B2D22" w:rsidP="009B2D22">
      <w:pPr>
        <w:pStyle w:val="arus"/>
        <w:tabs>
          <w:tab w:val="left" w:pos="448"/>
        </w:tabs>
        <w:spacing w:before="0" w:after="0"/>
        <w:ind w:left="0" w:firstLine="720"/>
        <w:contextualSpacing w:val="0"/>
        <w:jc w:val="both"/>
        <w:rPr>
          <w:rFonts w:eastAsia="Times New Roman"/>
          <w:sz w:val="24"/>
          <w:szCs w:val="24"/>
          <w:lang w:val="en-US" w:eastAsia="ru-RU"/>
        </w:rPr>
      </w:pPr>
    </w:p>
    <w:p w:rsidR="000771AD" w:rsidRPr="00D2798E" w:rsidRDefault="00D2798E" w:rsidP="00E177BA">
      <w:pPr>
        <w:pStyle w:val="arus"/>
        <w:tabs>
          <w:tab w:val="left" w:pos="448"/>
        </w:tabs>
        <w:spacing w:before="100" w:after="80"/>
        <w:ind w:left="0" w:firstLine="720"/>
        <w:jc w:val="both"/>
        <w:rPr>
          <w:rFonts w:eastAsia="Times New Roman"/>
          <w:sz w:val="24"/>
          <w:szCs w:val="24"/>
          <w:highlight w:val="yellow"/>
          <w:lang w:val="en-US" w:eastAsia="ru-RU"/>
        </w:rPr>
      </w:pPr>
      <w:r w:rsidRPr="002075FC">
        <w:rPr>
          <w:rFonts w:eastAsia="Times New Roman"/>
          <w:sz w:val="24"/>
          <w:szCs w:val="24"/>
          <w:lang w:val="en-US" w:eastAsia="ru-RU"/>
        </w:rPr>
        <w:t xml:space="preserve">Related parties of the Company shall be persons possessing more than 20 percent of the votes in the supreme governing body of the Company; legal entities that are subsidiaries of the same company, which is a subsidiary of the Company itself; subsidiaries of the Company; members of the Board of Directors (Supervisory Board) </w:t>
      </w:r>
      <w:r>
        <w:rPr>
          <w:rFonts w:eastAsia="Times New Roman"/>
          <w:sz w:val="24"/>
          <w:szCs w:val="24"/>
          <w:lang w:val="en-US" w:eastAsia="ru-RU"/>
        </w:rPr>
        <w:t>of the Company</w:t>
      </w:r>
      <w:r w:rsidRPr="002075FC">
        <w:rPr>
          <w:rFonts w:eastAsia="Times New Roman"/>
          <w:sz w:val="24"/>
          <w:szCs w:val="24"/>
          <w:lang w:val="en-US" w:eastAsia="ru-RU"/>
        </w:rPr>
        <w:t xml:space="preserve">; persons exercising powers of the chief executive officer, members of the collegial executive body of the Company, as well as other persons who, due to a predominant stake in the authorized capital, or in accordance with the contract </w:t>
      </w:r>
      <w:r>
        <w:rPr>
          <w:rFonts w:eastAsia="Times New Roman"/>
          <w:sz w:val="24"/>
          <w:szCs w:val="24"/>
          <w:lang w:val="en-US" w:eastAsia="ru-RU"/>
        </w:rPr>
        <w:t>are</w:t>
      </w:r>
      <w:r w:rsidRPr="002075FC">
        <w:rPr>
          <w:rFonts w:eastAsia="Times New Roman"/>
          <w:sz w:val="24"/>
          <w:szCs w:val="24"/>
          <w:lang w:val="en-US" w:eastAsia="ru-RU"/>
        </w:rPr>
        <w:t xml:space="preserve"> able to define decisions </w:t>
      </w:r>
      <w:r>
        <w:rPr>
          <w:rFonts w:eastAsia="Times New Roman"/>
          <w:sz w:val="24"/>
          <w:szCs w:val="24"/>
          <w:lang w:val="en-US" w:eastAsia="ru-RU"/>
        </w:rPr>
        <w:t>taken</w:t>
      </w:r>
      <w:r w:rsidRPr="002075FC">
        <w:rPr>
          <w:rFonts w:eastAsia="Times New Roman"/>
          <w:sz w:val="24"/>
          <w:szCs w:val="24"/>
          <w:lang w:val="en-US" w:eastAsia="ru-RU"/>
        </w:rPr>
        <w:t xml:space="preserve"> by the Company</w:t>
      </w:r>
      <w:r w:rsidR="007101C7" w:rsidRPr="00D2798E">
        <w:rPr>
          <w:rFonts w:eastAsia="Times New Roman"/>
          <w:sz w:val="24"/>
          <w:szCs w:val="24"/>
          <w:lang w:val="en-US" w:eastAsia="ru-RU"/>
        </w:rPr>
        <w:t>.</w:t>
      </w:r>
      <w:r w:rsidR="007101C7" w:rsidRPr="00D2798E" w:rsidDel="00E617C0">
        <w:rPr>
          <w:rFonts w:eastAsia="Times New Roman"/>
          <w:sz w:val="24"/>
          <w:szCs w:val="24"/>
          <w:lang w:val="en-US" w:eastAsia="ru-RU"/>
        </w:rPr>
        <w:t xml:space="preserve"> </w:t>
      </w:r>
    </w:p>
    <w:p w:rsidR="00270BD1" w:rsidRPr="00D2798E" w:rsidRDefault="00270BD1" w:rsidP="009B2D22">
      <w:pPr>
        <w:ind w:right="-2"/>
        <w:jc w:val="both"/>
        <w:rPr>
          <w:sz w:val="24"/>
          <w:szCs w:val="24"/>
          <w:lang w:val="en-US" w:eastAsia="ru-RU"/>
        </w:rPr>
      </w:pPr>
    </w:p>
    <w:p w:rsidR="000771AD" w:rsidRPr="0084364D" w:rsidRDefault="00D2798E" w:rsidP="00E177BA">
      <w:pPr>
        <w:ind w:right="-2" w:firstLine="720"/>
        <w:jc w:val="both"/>
        <w:rPr>
          <w:sz w:val="24"/>
          <w:szCs w:val="24"/>
          <w:lang w:val="en-US" w:eastAsia="ru-RU"/>
        </w:rPr>
      </w:pPr>
      <w:r w:rsidRPr="00AA048D">
        <w:rPr>
          <w:sz w:val="24"/>
          <w:szCs w:val="24"/>
          <w:lang w:val="en-US" w:eastAsia="ru-RU"/>
        </w:rPr>
        <w:t>List of affiliates is available on the Company's website</w:t>
      </w:r>
      <w:r>
        <w:rPr>
          <w:sz w:val="24"/>
          <w:szCs w:val="24"/>
          <w:lang w:val="en-US" w:eastAsia="ru-RU"/>
        </w:rPr>
        <w:t xml:space="preserve"> at</w:t>
      </w:r>
      <w:r w:rsidR="00EE27E3" w:rsidRPr="0084364D">
        <w:rPr>
          <w:sz w:val="24"/>
          <w:szCs w:val="24"/>
          <w:lang w:val="en-US" w:eastAsia="ru-RU"/>
        </w:rPr>
        <w:t>:</w:t>
      </w:r>
    </w:p>
    <w:p w:rsidR="00F0601C" w:rsidRPr="00726828" w:rsidRDefault="0031631D" w:rsidP="00F0601C">
      <w:pPr>
        <w:pStyle w:val="a5"/>
        <w:rPr>
          <w:b/>
          <w:lang w:val="en-US"/>
        </w:rPr>
        <w:sectPr w:rsidR="00F0601C" w:rsidRPr="00726828" w:rsidSect="004034FB">
          <w:footerReference w:type="even" r:id="rId8"/>
          <w:footerReference w:type="default" r:id="rId9"/>
          <w:type w:val="continuous"/>
          <w:pgSz w:w="11907" w:h="16839" w:code="9"/>
          <w:pgMar w:top="1134" w:right="837" w:bottom="1134" w:left="1701" w:header="708" w:footer="708" w:gutter="0"/>
          <w:cols w:space="708"/>
          <w:docGrid w:linePitch="360"/>
        </w:sectPr>
      </w:pPr>
      <w:hyperlink r:id="rId10" w:history="1">
        <w:r w:rsidR="003C1AEA" w:rsidRPr="00726828">
          <w:rPr>
            <w:rStyle w:val="af4"/>
            <w:lang w:val="en-US"/>
          </w:rPr>
          <w:t>http://www.mrsk-1.ru/information/affiliates/2014</w:t>
        </w:r>
      </w:hyperlink>
      <w:r w:rsidR="003C1AEA" w:rsidRPr="00726828">
        <w:rPr>
          <w:lang w:val="en-US"/>
        </w:rPr>
        <w:t>/</w:t>
      </w:r>
    </w:p>
    <w:p w:rsidR="00E617C0" w:rsidRPr="00726828" w:rsidRDefault="00E617C0" w:rsidP="00F0601C">
      <w:pPr>
        <w:pStyle w:val="a5"/>
        <w:rPr>
          <w:sz w:val="18"/>
          <w:szCs w:val="18"/>
          <w:lang w:val="en-US"/>
        </w:rPr>
      </w:pPr>
    </w:p>
    <w:p w:rsidR="00154235" w:rsidRPr="00726828" w:rsidRDefault="00154235" w:rsidP="00F0601C">
      <w:pPr>
        <w:pStyle w:val="a5"/>
        <w:rPr>
          <w:sz w:val="18"/>
          <w:szCs w:val="18"/>
          <w:lang w:val="en-US"/>
        </w:rPr>
      </w:pPr>
    </w:p>
    <w:p w:rsidR="00154235" w:rsidRPr="00726828" w:rsidRDefault="00154235" w:rsidP="00F0601C">
      <w:pPr>
        <w:pStyle w:val="a5"/>
        <w:rPr>
          <w:sz w:val="18"/>
          <w:szCs w:val="18"/>
          <w:lang w:val="en-US"/>
        </w:rPr>
      </w:pPr>
    </w:p>
    <w:p w:rsidR="00154235" w:rsidRPr="00726828" w:rsidRDefault="00154235" w:rsidP="00F0601C">
      <w:pPr>
        <w:pStyle w:val="a5"/>
        <w:rPr>
          <w:sz w:val="18"/>
          <w:szCs w:val="18"/>
          <w:lang w:val="en-US"/>
        </w:rPr>
      </w:pPr>
    </w:p>
    <w:p w:rsidR="00154235" w:rsidRPr="00726828" w:rsidRDefault="00154235" w:rsidP="00F0601C">
      <w:pPr>
        <w:pStyle w:val="a5"/>
        <w:rPr>
          <w:sz w:val="18"/>
          <w:szCs w:val="18"/>
          <w:lang w:val="en-US"/>
        </w:rPr>
      </w:pPr>
    </w:p>
    <w:p w:rsidR="00154235" w:rsidRPr="00726828" w:rsidRDefault="00154235" w:rsidP="00F0601C">
      <w:pPr>
        <w:pStyle w:val="a5"/>
        <w:rPr>
          <w:sz w:val="18"/>
          <w:szCs w:val="18"/>
          <w:lang w:val="en-US"/>
        </w:rPr>
      </w:pPr>
    </w:p>
    <w:p w:rsidR="00154235" w:rsidRPr="00726828" w:rsidRDefault="00154235" w:rsidP="00F0601C">
      <w:pPr>
        <w:pStyle w:val="a5"/>
        <w:rPr>
          <w:sz w:val="18"/>
          <w:szCs w:val="18"/>
          <w:lang w:val="en-US"/>
        </w:rPr>
      </w:pPr>
    </w:p>
    <w:p w:rsidR="00DD0099" w:rsidRPr="00726828" w:rsidRDefault="00DD0099" w:rsidP="004034FB">
      <w:pPr>
        <w:pStyle w:val="a5"/>
        <w:ind w:firstLine="0"/>
        <w:rPr>
          <w:sz w:val="18"/>
          <w:szCs w:val="18"/>
          <w:lang w:val="en-US"/>
        </w:rPr>
      </w:pPr>
    </w:p>
    <w:p w:rsidR="002F69D9" w:rsidRPr="0084364D" w:rsidRDefault="0084364D" w:rsidP="00E37AB5">
      <w:pPr>
        <w:pStyle w:val="ab"/>
        <w:numPr>
          <w:ilvl w:val="2"/>
          <w:numId w:val="6"/>
        </w:numPr>
        <w:spacing w:after="120"/>
        <w:ind w:left="34" w:firstLine="720"/>
        <w:contextualSpacing w:val="0"/>
        <w:jc w:val="both"/>
        <w:rPr>
          <w:sz w:val="24"/>
          <w:szCs w:val="24"/>
          <w:lang w:val="en-US" w:eastAsia="ru-RU"/>
        </w:rPr>
      </w:pPr>
      <w:r w:rsidRPr="00AA048D">
        <w:rPr>
          <w:sz w:val="24"/>
          <w:szCs w:val="24"/>
          <w:lang w:val="en-US" w:eastAsia="ru-RU"/>
        </w:rPr>
        <w:t>Settlements on contractual obligations for services provided by affiliates to the Company in</w:t>
      </w:r>
      <w:r w:rsidRPr="0084364D">
        <w:rPr>
          <w:sz w:val="24"/>
          <w:szCs w:val="24"/>
          <w:lang w:val="en-US" w:eastAsia="ru-RU"/>
        </w:rPr>
        <w:t xml:space="preserve"> </w:t>
      </w:r>
      <w:r w:rsidR="00F82124" w:rsidRPr="0084364D">
        <w:rPr>
          <w:sz w:val="24"/>
          <w:szCs w:val="24"/>
          <w:lang w:val="en-US" w:eastAsia="ru-RU"/>
        </w:rPr>
        <w:t>2013:</w:t>
      </w:r>
    </w:p>
    <w:p w:rsidR="00AB0138" w:rsidRPr="0084364D" w:rsidRDefault="00AB0138" w:rsidP="00194791">
      <w:pPr>
        <w:pStyle w:val="ab"/>
        <w:ind w:left="-108"/>
        <w:rPr>
          <w:b/>
          <w:bCs/>
          <w:iCs/>
          <w:sz w:val="24"/>
          <w:szCs w:val="24"/>
          <w:lang w:val="en-US" w:eastAsia="ru-RU"/>
        </w:rPr>
        <w:sectPr w:rsidR="00AB0138" w:rsidRPr="0084364D" w:rsidSect="004034FB">
          <w:headerReference w:type="default" r:id="rId11"/>
          <w:footerReference w:type="default" r:id="rId12"/>
          <w:type w:val="continuous"/>
          <w:pgSz w:w="11907" w:h="16839" w:code="9"/>
          <w:pgMar w:top="851" w:right="837" w:bottom="851" w:left="1701" w:header="709" w:footer="709" w:gutter="0"/>
          <w:cols w:space="708"/>
          <w:docGrid w:linePitch="360"/>
        </w:sectPr>
      </w:pPr>
    </w:p>
    <w:tbl>
      <w:tblPr>
        <w:tblW w:w="9375" w:type="dxa"/>
        <w:tblInd w:w="93" w:type="dxa"/>
        <w:tblLayout w:type="fixed"/>
        <w:tblLook w:val="04A0"/>
      </w:tblPr>
      <w:tblGrid>
        <w:gridCol w:w="555"/>
        <w:gridCol w:w="1890"/>
        <w:gridCol w:w="1800"/>
        <w:gridCol w:w="1440"/>
        <w:gridCol w:w="1260"/>
        <w:gridCol w:w="1170"/>
        <w:gridCol w:w="1260"/>
      </w:tblGrid>
      <w:tr w:rsidR="0084364D" w:rsidRPr="00FF15EC" w:rsidTr="00A34E00">
        <w:trPr>
          <w:trHeight w:val="1452"/>
          <w:tblHeader/>
        </w:trPr>
        <w:tc>
          <w:tcPr>
            <w:tcW w:w="555" w:type="dxa"/>
            <w:tcBorders>
              <w:top w:val="single" w:sz="4" w:space="0" w:color="auto"/>
              <w:left w:val="single" w:sz="4" w:space="0" w:color="auto"/>
              <w:bottom w:val="single" w:sz="4" w:space="0" w:color="auto"/>
              <w:right w:val="single" w:sz="4" w:space="0" w:color="auto"/>
            </w:tcBorders>
            <w:vAlign w:val="bottom"/>
            <w:hideMark/>
          </w:tcPr>
          <w:p w:rsidR="0084364D" w:rsidRPr="00781E35" w:rsidRDefault="0084364D" w:rsidP="007C4502">
            <w:pPr>
              <w:keepNext/>
              <w:jc w:val="center"/>
              <w:outlineLvl w:val="0"/>
              <w:rPr>
                <w:b/>
                <w:bCs/>
                <w:color w:val="000000"/>
                <w:sz w:val="18"/>
                <w:szCs w:val="18"/>
                <w:lang w:val="ru-RU" w:eastAsia="ru-RU"/>
              </w:rPr>
            </w:pPr>
            <w:proofErr w:type="spellStart"/>
            <w:r>
              <w:rPr>
                <w:b/>
                <w:bCs/>
                <w:color w:val="000000"/>
                <w:sz w:val="18"/>
                <w:szCs w:val="18"/>
                <w:lang w:val="ru-RU" w:eastAsia="ru-RU"/>
              </w:rPr>
              <w:lastRenderedPageBreak/>
              <w:t>Item</w:t>
            </w:r>
            <w:proofErr w:type="spellEnd"/>
            <w:r>
              <w:rPr>
                <w:b/>
                <w:bCs/>
                <w:color w:val="000000"/>
                <w:sz w:val="18"/>
                <w:szCs w:val="18"/>
                <w:lang w:val="ru-RU" w:eastAsia="ru-RU"/>
              </w:rPr>
              <w:t xml:space="preserve"> #</w:t>
            </w:r>
          </w:p>
        </w:tc>
        <w:tc>
          <w:tcPr>
            <w:tcW w:w="1890" w:type="dxa"/>
            <w:tcBorders>
              <w:top w:val="single" w:sz="4" w:space="0" w:color="auto"/>
              <w:left w:val="nil"/>
              <w:bottom w:val="single" w:sz="4" w:space="0" w:color="auto"/>
              <w:right w:val="single" w:sz="4" w:space="0" w:color="auto"/>
            </w:tcBorders>
            <w:vAlign w:val="bottom"/>
            <w:hideMark/>
          </w:tcPr>
          <w:p w:rsidR="0084364D" w:rsidRPr="00907317" w:rsidRDefault="0084364D" w:rsidP="007C4502">
            <w:pPr>
              <w:keepNext/>
              <w:jc w:val="center"/>
              <w:outlineLvl w:val="0"/>
              <w:rPr>
                <w:b/>
                <w:bCs/>
                <w:color w:val="000000"/>
                <w:sz w:val="18"/>
                <w:szCs w:val="18"/>
                <w:lang w:val="en-US" w:eastAsia="ru-RU"/>
              </w:rPr>
            </w:pPr>
            <w:r w:rsidRPr="00907317">
              <w:rPr>
                <w:b/>
                <w:bCs/>
                <w:color w:val="000000"/>
                <w:sz w:val="18"/>
                <w:szCs w:val="18"/>
                <w:lang w:val="en-US" w:eastAsia="ru-RU"/>
              </w:rPr>
              <w:t>Name of the organization - an affiliate</w:t>
            </w:r>
          </w:p>
        </w:tc>
        <w:tc>
          <w:tcPr>
            <w:tcW w:w="1800" w:type="dxa"/>
            <w:tcBorders>
              <w:top w:val="single" w:sz="4" w:space="0" w:color="auto"/>
              <w:left w:val="nil"/>
              <w:bottom w:val="single" w:sz="4" w:space="0" w:color="auto"/>
              <w:right w:val="single" w:sz="4" w:space="0" w:color="auto"/>
            </w:tcBorders>
            <w:vAlign w:val="bottom"/>
            <w:hideMark/>
          </w:tcPr>
          <w:p w:rsidR="0084364D" w:rsidRPr="00781E35" w:rsidRDefault="0084364D" w:rsidP="007C4502">
            <w:pPr>
              <w:keepNext/>
              <w:jc w:val="center"/>
              <w:outlineLvl w:val="0"/>
              <w:rPr>
                <w:b/>
                <w:bCs/>
                <w:color w:val="000000"/>
                <w:sz w:val="18"/>
                <w:szCs w:val="18"/>
                <w:lang w:val="ru-RU" w:eastAsia="ru-RU"/>
              </w:rPr>
            </w:pPr>
            <w:proofErr w:type="spellStart"/>
            <w:r>
              <w:rPr>
                <w:b/>
                <w:bCs/>
                <w:color w:val="000000"/>
                <w:sz w:val="18"/>
                <w:szCs w:val="18"/>
                <w:lang w:val="ru-RU" w:eastAsia="ru-RU"/>
              </w:rPr>
              <w:t>Service</w:t>
            </w:r>
            <w:proofErr w:type="spellEnd"/>
            <w:r>
              <w:rPr>
                <w:b/>
                <w:bCs/>
                <w:color w:val="000000"/>
                <w:sz w:val="18"/>
                <w:szCs w:val="18"/>
                <w:lang w:val="ru-RU" w:eastAsia="ru-RU"/>
              </w:rPr>
              <w:t xml:space="preserve"> </w:t>
            </w:r>
            <w:proofErr w:type="spellStart"/>
            <w:r>
              <w:rPr>
                <w:b/>
                <w:bCs/>
                <w:color w:val="000000"/>
                <w:sz w:val="18"/>
                <w:szCs w:val="18"/>
                <w:lang w:val="ru-RU" w:eastAsia="ru-RU"/>
              </w:rPr>
              <w:t>type</w:t>
            </w:r>
            <w:proofErr w:type="spellEnd"/>
          </w:p>
        </w:tc>
        <w:tc>
          <w:tcPr>
            <w:tcW w:w="1440" w:type="dxa"/>
            <w:tcBorders>
              <w:top w:val="single" w:sz="4" w:space="0" w:color="auto"/>
              <w:left w:val="nil"/>
              <w:bottom w:val="single" w:sz="4" w:space="0" w:color="auto"/>
              <w:right w:val="single" w:sz="4" w:space="0" w:color="auto"/>
            </w:tcBorders>
            <w:vAlign w:val="bottom"/>
            <w:hideMark/>
          </w:tcPr>
          <w:p w:rsidR="0084364D" w:rsidRPr="00907317" w:rsidRDefault="0084364D" w:rsidP="007C4502">
            <w:pPr>
              <w:keepNext/>
              <w:jc w:val="center"/>
              <w:outlineLvl w:val="0"/>
              <w:rPr>
                <w:b/>
                <w:bCs/>
                <w:color w:val="000000"/>
                <w:sz w:val="18"/>
                <w:szCs w:val="18"/>
                <w:lang w:val="en-US" w:eastAsia="ru-RU"/>
              </w:rPr>
            </w:pPr>
            <w:r w:rsidRPr="00907317">
              <w:rPr>
                <w:b/>
                <w:bCs/>
                <w:color w:val="000000"/>
                <w:sz w:val="18"/>
                <w:szCs w:val="18"/>
                <w:lang w:val="en-US" w:eastAsia="ru-RU"/>
              </w:rPr>
              <w:t xml:space="preserve">Total accounts payable (+) / receivable (-) as at 31.12.2012, </w:t>
            </w:r>
            <w:proofErr w:type="spellStart"/>
            <w:r w:rsidRPr="00907317">
              <w:rPr>
                <w:b/>
                <w:bCs/>
                <w:color w:val="000000"/>
                <w:sz w:val="18"/>
                <w:szCs w:val="18"/>
                <w:lang w:val="en-US" w:eastAsia="ru-RU"/>
              </w:rPr>
              <w:t>thous</w:t>
            </w:r>
            <w:proofErr w:type="spellEnd"/>
            <w:r w:rsidRPr="00907317">
              <w:rPr>
                <w:b/>
                <w:bCs/>
                <w:color w:val="000000"/>
                <w:sz w:val="18"/>
                <w:szCs w:val="18"/>
                <w:lang w:val="en-US" w:eastAsia="ru-RU"/>
              </w:rPr>
              <w:t>. RUB.</w:t>
            </w:r>
          </w:p>
        </w:tc>
        <w:tc>
          <w:tcPr>
            <w:tcW w:w="1260" w:type="dxa"/>
            <w:tcBorders>
              <w:top w:val="single" w:sz="4" w:space="0" w:color="auto"/>
              <w:left w:val="nil"/>
              <w:bottom w:val="single" w:sz="4" w:space="0" w:color="auto"/>
              <w:right w:val="single" w:sz="4" w:space="0" w:color="auto"/>
            </w:tcBorders>
            <w:vAlign w:val="bottom"/>
            <w:hideMark/>
          </w:tcPr>
          <w:p w:rsidR="0084364D" w:rsidRPr="000F7C56" w:rsidRDefault="0084364D" w:rsidP="007C4502">
            <w:pPr>
              <w:keepNext/>
              <w:jc w:val="center"/>
              <w:outlineLvl w:val="0"/>
              <w:rPr>
                <w:b/>
                <w:bCs/>
                <w:color w:val="000000"/>
                <w:sz w:val="18"/>
                <w:szCs w:val="18"/>
                <w:lang w:val="en-US" w:eastAsia="ru-RU"/>
              </w:rPr>
            </w:pPr>
            <w:r w:rsidRPr="000F7C56">
              <w:rPr>
                <w:b/>
                <w:bCs/>
                <w:color w:val="000000"/>
                <w:sz w:val="18"/>
                <w:szCs w:val="18"/>
                <w:lang w:val="en-US" w:eastAsia="ru-RU"/>
              </w:rPr>
              <w:t xml:space="preserve">Amount of charges, </w:t>
            </w:r>
            <w:proofErr w:type="spellStart"/>
            <w:r w:rsidRPr="000F7C56">
              <w:rPr>
                <w:b/>
                <w:bCs/>
                <w:color w:val="000000"/>
                <w:sz w:val="18"/>
                <w:szCs w:val="18"/>
                <w:lang w:val="en-US" w:eastAsia="ru-RU"/>
              </w:rPr>
              <w:t>thous</w:t>
            </w:r>
            <w:proofErr w:type="spellEnd"/>
            <w:r w:rsidRPr="000F7C56">
              <w:rPr>
                <w:b/>
                <w:bCs/>
                <w:color w:val="000000"/>
                <w:sz w:val="18"/>
                <w:szCs w:val="18"/>
                <w:lang w:val="en-US" w:eastAsia="ru-RU"/>
              </w:rPr>
              <w:t>. RUB.</w:t>
            </w:r>
          </w:p>
        </w:tc>
        <w:tc>
          <w:tcPr>
            <w:tcW w:w="1170" w:type="dxa"/>
            <w:tcBorders>
              <w:top w:val="single" w:sz="4" w:space="0" w:color="auto"/>
              <w:left w:val="nil"/>
              <w:bottom w:val="single" w:sz="4" w:space="0" w:color="auto"/>
              <w:right w:val="single" w:sz="4" w:space="0" w:color="auto"/>
            </w:tcBorders>
            <w:vAlign w:val="bottom"/>
            <w:hideMark/>
          </w:tcPr>
          <w:p w:rsidR="0084364D" w:rsidRPr="00781E35" w:rsidRDefault="0084364D" w:rsidP="007C4502">
            <w:pPr>
              <w:keepNext/>
              <w:jc w:val="center"/>
              <w:outlineLvl w:val="0"/>
              <w:rPr>
                <w:b/>
                <w:bCs/>
                <w:color w:val="000000"/>
                <w:sz w:val="18"/>
                <w:szCs w:val="18"/>
                <w:lang w:val="ru-RU" w:eastAsia="ru-RU"/>
              </w:rPr>
            </w:pPr>
            <w:proofErr w:type="spellStart"/>
            <w:r>
              <w:rPr>
                <w:b/>
                <w:bCs/>
                <w:color w:val="000000"/>
                <w:sz w:val="18"/>
                <w:szCs w:val="18"/>
                <w:lang w:val="ru-RU" w:eastAsia="ru-RU"/>
              </w:rPr>
              <w:t>Maturity</w:t>
            </w:r>
            <w:proofErr w:type="spellEnd"/>
            <w:r>
              <w:rPr>
                <w:b/>
                <w:bCs/>
                <w:color w:val="000000"/>
                <w:sz w:val="18"/>
                <w:szCs w:val="18"/>
                <w:lang w:val="ru-RU" w:eastAsia="ru-RU"/>
              </w:rPr>
              <w:t xml:space="preserve"> </w:t>
            </w:r>
            <w:proofErr w:type="spellStart"/>
            <w:r>
              <w:rPr>
                <w:b/>
                <w:bCs/>
                <w:color w:val="000000"/>
                <w:sz w:val="18"/>
                <w:szCs w:val="18"/>
                <w:lang w:val="ru-RU" w:eastAsia="ru-RU"/>
              </w:rPr>
              <w:t>value</w:t>
            </w:r>
            <w:proofErr w:type="spellEnd"/>
            <w:r w:rsidRPr="00781E35">
              <w:rPr>
                <w:b/>
                <w:bCs/>
                <w:color w:val="000000"/>
                <w:sz w:val="18"/>
                <w:szCs w:val="18"/>
                <w:lang w:val="ru-RU" w:eastAsia="ru-RU"/>
              </w:rPr>
              <w:t xml:space="preserve">, </w:t>
            </w:r>
            <w:proofErr w:type="spellStart"/>
            <w:r>
              <w:rPr>
                <w:b/>
                <w:bCs/>
                <w:color w:val="000000"/>
                <w:sz w:val="18"/>
                <w:szCs w:val="18"/>
                <w:lang w:val="ru-RU" w:eastAsia="ru-RU"/>
              </w:rPr>
              <w:t>thous</w:t>
            </w:r>
            <w:proofErr w:type="spellEnd"/>
            <w:r>
              <w:rPr>
                <w:b/>
                <w:bCs/>
                <w:color w:val="000000"/>
                <w:sz w:val="18"/>
                <w:szCs w:val="18"/>
                <w:lang w:val="ru-RU" w:eastAsia="ru-RU"/>
              </w:rPr>
              <w:t>. RUB</w:t>
            </w:r>
            <w:r w:rsidRPr="00781E35">
              <w:rPr>
                <w:b/>
                <w:bCs/>
                <w:color w:val="000000"/>
                <w:sz w:val="18"/>
                <w:szCs w:val="18"/>
                <w:lang w:val="ru-RU" w:eastAsia="ru-RU"/>
              </w:rPr>
              <w:t>.</w:t>
            </w:r>
          </w:p>
        </w:tc>
        <w:tc>
          <w:tcPr>
            <w:tcW w:w="1260" w:type="dxa"/>
            <w:tcBorders>
              <w:top w:val="single" w:sz="4" w:space="0" w:color="auto"/>
              <w:left w:val="nil"/>
              <w:bottom w:val="single" w:sz="4" w:space="0" w:color="auto"/>
              <w:right w:val="single" w:sz="4" w:space="0" w:color="auto"/>
            </w:tcBorders>
            <w:vAlign w:val="bottom"/>
            <w:hideMark/>
          </w:tcPr>
          <w:p w:rsidR="0084364D" w:rsidRPr="00907317" w:rsidRDefault="0084364D" w:rsidP="007C4502">
            <w:pPr>
              <w:keepNext/>
              <w:jc w:val="center"/>
              <w:outlineLvl w:val="0"/>
              <w:rPr>
                <w:b/>
                <w:bCs/>
                <w:color w:val="000000"/>
                <w:sz w:val="18"/>
                <w:szCs w:val="18"/>
                <w:lang w:val="en-US" w:eastAsia="ru-RU"/>
              </w:rPr>
            </w:pPr>
            <w:r w:rsidRPr="00907317">
              <w:rPr>
                <w:b/>
                <w:bCs/>
                <w:color w:val="000000"/>
                <w:sz w:val="18"/>
                <w:szCs w:val="18"/>
                <w:lang w:val="en-US" w:eastAsia="ru-RU"/>
              </w:rPr>
              <w:t xml:space="preserve">Total accounts payable (+) / receivable (-) as at 31.12.2013, </w:t>
            </w:r>
            <w:proofErr w:type="spellStart"/>
            <w:r w:rsidRPr="00907317">
              <w:rPr>
                <w:b/>
                <w:bCs/>
                <w:color w:val="000000"/>
                <w:sz w:val="18"/>
                <w:szCs w:val="18"/>
                <w:lang w:val="en-US" w:eastAsia="ru-RU"/>
              </w:rPr>
              <w:t>thous</w:t>
            </w:r>
            <w:proofErr w:type="spellEnd"/>
            <w:r w:rsidRPr="00907317">
              <w:rPr>
                <w:b/>
                <w:bCs/>
                <w:color w:val="000000"/>
                <w:sz w:val="18"/>
                <w:szCs w:val="18"/>
                <w:lang w:val="en-US" w:eastAsia="ru-RU"/>
              </w:rPr>
              <w:t>. RUB.</w:t>
            </w:r>
          </w:p>
        </w:tc>
      </w:tr>
      <w:tr w:rsidR="00BD5CDD" w:rsidTr="005C6467">
        <w:trPr>
          <w:trHeight w:val="629"/>
        </w:trPr>
        <w:tc>
          <w:tcPr>
            <w:tcW w:w="555" w:type="dxa"/>
            <w:tcBorders>
              <w:top w:val="nil"/>
              <w:left w:val="single" w:sz="4" w:space="0" w:color="auto"/>
              <w:bottom w:val="single" w:sz="4" w:space="0" w:color="auto"/>
              <w:right w:val="single" w:sz="4" w:space="0" w:color="auto"/>
            </w:tcBorders>
            <w:noWrap/>
            <w:vAlign w:val="bottom"/>
            <w:hideMark/>
          </w:tcPr>
          <w:p w:rsidR="00BD5CDD" w:rsidRDefault="00BD5CDD" w:rsidP="00A34E00">
            <w:pPr>
              <w:keepNext/>
              <w:spacing w:line="276" w:lineRule="auto"/>
              <w:jc w:val="center"/>
              <w:outlineLvl w:val="0"/>
              <w:rPr>
                <w:color w:val="000000"/>
                <w:sz w:val="18"/>
                <w:szCs w:val="18"/>
                <w:lang w:val="ru-RU" w:eastAsia="ru-RU"/>
              </w:rPr>
            </w:pPr>
            <w:r>
              <w:rPr>
                <w:color w:val="000000"/>
                <w:sz w:val="18"/>
                <w:szCs w:val="18"/>
                <w:lang w:val="ru-RU" w:eastAsia="ru-RU"/>
              </w:rPr>
              <w:t>1</w:t>
            </w:r>
          </w:p>
        </w:tc>
        <w:tc>
          <w:tcPr>
            <w:tcW w:w="1890" w:type="dxa"/>
            <w:tcBorders>
              <w:top w:val="nil"/>
              <w:left w:val="nil"/>
              <w:bottom w:val="single" w:sz="4" w:space="0" w:color="auto"/>
              <w:right w:val="single" w:sz="4" w:space="0" w:color="auto"/>
            </w:tcBorders>
            <w:vAlign w:val="bottom"/>
            <w:hideMark/>
          </w:tcPr>
          <w:p w:rsidR="00BD5CDD" w:rsidRPr="006A7F5C" w:rsidRDefault="00BD5CDD" w:rsidP="007C4502">
            <w:pPr>
              <w:keepNext/>
              <w:jc w:val="center"/>
              <w:outlineLvl w:val="0"/>
              <w:rPr>
                <w:color w:val="000000"/>
                <w:sz w:val="18"/>
                <w:szCs w:val="18"/>
                <w:lang w:val="en-US" w:eastAsia="ru-RU"/>
              </w:rPr>
            </w:pPr>
            <w:r w:rsidRPr="006A7F5C">
              <w:rPr>
                <w:color w:val="000000"/>
                <w:sz w:val="18"/>
                <w:szCs w:val="18"/>
                <w:lang w:val="en-US" w:eastAsia="ru-RU"/>
              </w:rPr>
              <w:t>OJSC «EC UES Real Estate»</w:t>
            </w:r>
            <w:r>
              <w:rPr>
                <w:rStyle w:val="af9"/>
                <w:color w:val="000000"/>
                <w:sz w:val="18"/>
                <w:szCs w:val="18"/>
                <w:lang w:val="ru-RU" w:eastAsia="ru-RU"/>
              </w:rPr>
              <w:footnoteReference w:id="1"/>
            </w:r>
          </w:p>
        </w:tc>
        <w:tc>
          <w:tcPr>
            <w:tcW w:w="1800" w:type="dxa"/>
            <w:tcBorders>
              <w:top w:val="nil"/>
              <w:left w:val="nil"/>
              <w:bottom w:val="single" w:sz="4" w:space="0" w:color="auto"/>
              <w:right w:val="single" w:sz="4" w:space="0" w:color="auto"/>
            </w:tcBorders>
            <w:vAlign w:val="bottom"/>
            <w:hideMark/>
          </w:tcPr>
          <w:p w:rsidR="00BD5CDD" w:rsidRPr="00781E35" w:rsidRDefault="00BD5CDD" w:rsidP="007C4502">
            <w:pPr>
              <w:keepNext/>
              <w:jc w:val="center"/>
              <w:outlineLvl w:val="0"/>
              <w:rPr>
                <w:color w:val="000000"/>
                <w:sz w:val="18"/>
                <w:szCs w:val="18"/>
                <w:lang w:val="ru-RU" w:eastAsia="ru-RU"/>
              </w:rPr>
            </w:pPr>
            <w:proofErr w:type="spellStart"/>
            <w:r w:rsidRPr="00907317">
              <w:rPr>
                <w:color w:val="000000"/>
                <w:sz w:val="18"/>
                <w:szCs w:val="18"/>
                <w:lang w:val="ru-RU" w:eastAsia="ru-RU"/>
              </w:rPr>
              <w:t>motor</w:t>
            </w:r>
            <w:proofErr w:type="spellEnd"/>
            <w:r w:rsidRPr="00907317">
              <w:rPr>
                <w:color w:val="000000"/>
                <w:sz w:val="18"/>
                <w:szCs w:val="18"/>
                <w:lang w:val="ru-RU" w:eastAsia="ru-RU"/>
              </w:rPr>
              <w:t xml:space="preserve"> </w:t>
            </w:r>
            <w:proofErr w:type="spellStart"/>
            <w:r w:rsidRPr="00907317">
              <w:rPr>
                <w:color w:val="000000"/>
                <w:sz w:val="18"/>
                <w:szCs w:val="18"/>
                <w:lang w:val="ru-RU" w:eastAsia="ru-RU"/>
              </w:rPr>
              <w:t>transport</w:t>
            </w:r>
            <w:proofErr w:type="spellEnd"/>
            <w:r w:rsidRPr="00907317">
              <w:rPr>
                <w:color w:val="000000"/>
                <w:sz w:val="18"/>
                <w:szCs w:val="18"/>
                <w:lang w:val="ru-RU" w:eastAsia="ru-RU"/>
              </w:rPr>
              <w:t xml:space="preserve"> </w:t>
            </w:r>
            <w:proofErr w:type="spellStart"/>
            <w:r w:rsidRPr="00907317">
              <w:rPr>
                <w:color w:val="000000"/>
                <w:sz w:val="18"/>
                <w:szCs w:val="18"/>
                <w:lang w:val="ru-RU" w:eastAsia="ru-RU"/>
              </w:rPr>
              <w:t>services</w:t>
            </w:r>
            <w:proofErr w:type="spellEnd"/>
          </w:p>
        </w:tc>
        <w:tc>
          <w:tcPr>
            <w:tcW w:w="144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4 360</w:t>
            </w:r>
          </w:p>
        </w:tc>
        <w:tc>
          <w:tcPr>
            <w:tcW w:w="126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w:t>
            </w:r>
          </w:p>
        </w:tc>
        <w:tc>
          <w:tcPr>
            <w:tcW w:w="117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4 360</w:t>
            </w:r>
          </w:p>
        </w:tc>
        <w:tc>
          <w:tcPr>
            <w:tcW w:w="126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w:t>
            </w:r>
          </w:p>
        </w:tc>
      </w:tr>
      <w:tr w:rsidR="00BD5CDD" w:rsidTr="005C6467">
        <w:trPr>
          <w:trHeight w:val="1376"/>
        </w:trPr>
        <w:tc>
          <w:tcPr>
            <w:tcW w:w="555" w:type="dxa"/>
            <w:tcBorders>
              <w:top w:val="nil"/>
              <w:left w:val="single" w:sz="4" w:space="0" w:color="auto"/>
              <w:bottom w:val="single" w:sz="4" w:space="0" w:color="auto"/>
              <w:right w:val="single" w:sz="4" w:space="0" w:color="auto"/>
            </w:tcBorders>
            <w:noWrap/>
            <w:vAlign w:val="bottom"/>
            <w:hideMark/>
          </w:tcPr>
          <w:p w:rsidR="00BD5CDD" w:rsidRDefault="00BD5CDD" w:rsidP="00A34E00">
            <w:pPr>
              <w:keepNext/>
              <w:spacing w:line="276" w:lineRule="auto"/>
              <w:jc w:val="center"/>
              <w:outlineLvl w:val="0"/>
              <w:rPr>
                <w:color w:val="000000"/>
                <w:sz w:val="18"/>
                <w:szCs w:val="18"/>
                <w:lang w:val="ru-RU" w:eastAsia="ru-RU"/>
              </w:rPr>
            </w:pPr>
            <w:r>
              <w:rPr>
                <w:color w:val="000000"/>
                <w:sz w:val="18"/>
                <w:szCs w:val="18"/>
                <w:lang w:val="ru-RU" w:eastAsia="ru-RU"/>
              </w:rPr>
              <w:t>2</w:t>
            </w:r>
          </w:p>
        </w:tc>
        <w:tc>
          <w:tcPr>
            <w:tcW w:w="1890" w:type="dxa"/>
            <w:tcBorders>
              <w:top w:val="nil"/>
              <w:left w:val="nil"/>
              <w:bottom w:val="single" w:sz="4" w:space="0" w:color="auto"/>
              <w:right w:val="single" w:sz="4" w:space="0" w:color="auto"/>
            </w:tcBorders>
            <w:vAlign w:val="bottom"/>
            <w:hideMark/>
          </w:tcPr>
          <w:p w:rsidR="00BD5CDD" w:rsidRPr="006A7F5C" w:rsidRDefault="00BD5CDD" w:rsidP="007C4502">
            <w:pPr>
              <w:keepNext/>
              <w:jc w:val="center"/>
              <w:outlineLvl w:val="0"/>
              <w:rPr>
                <w:color w:val="000000"/>
                <w:sz w:val="18"/>
                <w:szCs w:val="18"/>
                <w:lang w:val="en-US" w:eastAsia="ru-RU"/>
              </w:rPr>
            </w:pPr>
            <w:r w:rsidRPr="006A7F5C">
              <w:rPr>
                <w:color w:val="000000"/>
                <w:sz w:val="18"/>
                <w:szCs w:val="18"/>
                <w:lang w:val="en-US" w:eastAsia="ru-RU"/>
              </w:rPr>
              <w:t>OJSC «EC UES Real Estate»</w:t>
            </w:r>
            <w:r w:rsidRPr="006A7F5C">
              <w:rPr>
                <w:color w:val="000000"/>
                <w:sz w:val="18"/>
                <w:szCs w:val="18"/>
                <w:vertAlign w:val="superscript"/>
                <w:lang w:val="en-US" w:eastAsia="ru-RU"/>
              </w:rPr>
              <w:t>1</w:t>
            </w:r>
          </w:p>
        </w:tc>
        <w:tc>
          <w:tcPr>
            <w:tcW w:w="1800" w:type="dxa"/>
            <w:tcBorders>
              <w:top w:val="nil"/>
              <w:left w:val="nil"/>
              <w:bottom w:val="single" w:sz="4" w:space="0" w:color="auto"/>
              <w:right w:val="single" w:sz="4" w:space="0" w:color="auto"/>
            </w:tcBorders>
            <w:vAlign w:val="bottom"/>
            <w:hideMark/>
          </w:tcPr>
          <w:p w:rsidR="00BD5CDD" w:rsidRPr="00AA048D" w:rsidRDefault="00BD5CDD" w:rsidP="007C4502">
            <w:pPr>
              <w:keepNext/>
              <w:jc w:val="center"/>
              <w:outlineLvl w:val="0"/>
              <w:rPr>
                <w:color w:val="000000"/>
                <w:sz w:val="18"/>
                <w:szCs w:val="18"/>
                <w:lang w:val="en-US" w:eastAsia="ru-RU"/>
              </w:rPr>
            </w:pPr>
            <w:r w:rsidRPr="00AA048D">
              <w:rPr>
                <w:color w:val="000000"/>
                <w:sz w:val="18"/>
                <w:szCs w:val="18"/>
                <w:lang w:val="en-US" w:eastAsia="ru-RU"/>
              </w:rPr>
              <w:t>lease of technical (motor) vehicles agreement without provision of driving and technical maintenance</w:t>
            </w:r>
          </w:p>
        </w:tc>
        <w:tc>
          <w:tcPr>
            <w:tcW w:w="144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295</w:t>
            </w:r>
          </w:p>
        </w:tc>
        <w:tc>
          <w:tcPr>
            <w:tcW w:w="126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w:t>
            </w:r>
          </w:p>
        </w:tc>
        <w:tc>
          <w:tcPr>
            <w:tcW w:w="117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295</w:t>
            </w:r>
          </w:p>
        </w:tc>
        <w:tc>
          <w:tcPr>
            <w:tcW w:w="1260" w:type="dxa"/>
            <w:tcBorders>
              <w:top w:val="nil"/>
              <w:left w:val="nil"/>
              <w:bottom w:val="single" w:sz="4" w:space="0" w:color="auto"/>
              <w:right w:val="single" w:sz="4" w:space="0" w:color="auto"/>
            </w:tcBorders>
            <w:noWrap/>
            <w:vAlign w:val="bottom"/>
            <w:hideMark/>
          </w:tcPr>
          <w:p w:rsidR="00BD5CDD" w:rsidRDefault="00BD5CDD">
            <w:pPr>
              <w:keepNext/>
              <w:spacing w:line="276" w:lineRule="auto"/>
              <w:jc w:val="right"/>
              <w:outlineLvl w:val="0"/>
              <w:rPr>
                <w:color w:val="000000"/>
                <w:sz w:val="18"/>
                <w:szCs w:val="18"/>
                <w:lang w:val="ru-RU" w:eastAsia="ru-RU"/>
              </w:rPr>
            </w:pPr>
            <w:r>
              <w:rPr>
                <w:color w:val="000000"/>
                <w:sz w:val="18"/>
                <w:szCs w:val="18"/>
                <w:lang w:val="ru-RU" w:eastAsia="ru-RU"/>
              </w:rPr>
              <w:t>-</w:t>
            </w:r>
          </w:p>
        </w:tc>
      </w:tr>
      <w:tr w:rsidR="00CE122C" w:rsidTr="005C6467">
        <w:trPr>
          <w:trHeight w:val="390"/>
        </w:trPr>
        <w:tc>
          <w:tcPr>
            <w:tcW w:w="555" w:type="dxa"/>
            <w:tcBorders>
              <w:top w:val="nil"/>
              <w:left w:val="single" w:sz="4" w:space="0" w:color="auto"/>
              <w:bottom w:val="single" w:sz="4" w:space="0" w:color="auto"/>
              <w:right w:val="single" w:sz="4" w:space="0" w:color="auto"/>
            </w:tcBorders>
            <w:noWrap/>
            <w:vAlign w:val="bottom"/>
            <w:hideMark/>
          </w:tcPr>
          <w:p w:rsidR="00CE122C" w:rsidRDefault="00CE122C" w:rsidP="00A34E00">
            <w:pPr>
              <w:keepNext/>
              <w:spacing w:line="276" w:lineRule="auto"/>
              <w:jc w:val="center"/>
              <w:outlineLvl w:val="0"/>
              <w:rPr>
                <w:color w:val="000000"/>
                <w:sz w:val="18"/>
                <w:szCs w:val="18"/>
                <w:lang w:val="ru-RU" w:eastAsia="ru-RU"/>
              </w:rPr>
            </w:pPr>
            <w:r>
              <w:rPr>
                <w:color w:val="000000"/>
                <w:sz w:val="18"/>
                <w:szCs w:val="18"/>
                <w:lang w:val="ru-RU" w:eastAsia="ru-RU"/>
              </w:rPr>
              <w:t>3</w:t>
            </w:r>
          </w:p>
        </w:tc>
        <w:tc>
          <w:tcPr>
            <w:tcW w:w="189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Pr>
                <w:rStyle w:val="af9"/>
                <w:color w:val="000000"/>
                <w:sz w:val="18"/>
                <w:szCs w:val="18"/>
                <w:lang w:val="ru-RU" w:eastAsia="ru-RU"/>
              </w:rPr>
              <w:footnoteReference w:id="2"/>
            </w:r>
          </w:p>
        </w:tc>
        <w:tc>
          <w:tcPr>
            <w:tcW w:w="180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proofErr w:type="spellStart"/>
            <w:r>
              <w:rPr>
                <w:color w:val="000000"/>
                <w:sz w:val="18"/>
                <w:szCs w:val="18"/>
                <w:lang w:val="ru-RU" w:eastAsia="ru-RU"/>
              </w:rPr>
              <w:t>construction</w:t>
            </w:r>
            <w:proofErr w:type="spellEnd"/>
            <w:r>
              <w:rPr>
                <w:color w:val="000000"/>
                <w:sz w:val="18"/>
                <w:szCs w:val="18"/>
                <w:lang w:val="ru-RU" w:eastAsia="ru-RU"/>
              </w:rPr>
              <w:t xml:space="preserve"> </w:t>
            </w:r>
            <w:proofErr w:type="spellStart"/>
            <w:r>
              <w:rPr>
                <w:color w:val="000000"/>
                <w:sz w:val="18"/>
                <w:szCs w:val="18"/>
                <w:lang w:val="ru-RU" w:eastAsia="ru-RU"/>
              </w:rPr>
              <w:t>and</w:t>
            </w:r>
            <w:proofErr w:type="spellEnd"/>
            <w:r>
              <w:rPr>
                <w:color w:val="000000"/>
                <w:sz w:val="18"/>
                <w:szCs w:val="18"/>
                <w:lang w:val="ru-RU" w:eastAsia="ru-RU"/>
              </w:rPr>
              <w:t xml:space="preserve"> </w:t>
            </w:r>
            <w:proofErr w:type="spellStart"/>
            <w:r>
              <w:rPr>
                <w:color w:val="000000"/>
                <w:sz w:val="18"/>
                <w:szCs w:val="18"/>
                <w:lang w:val="ru-RU" w:eastAsia="ru-RU"/>
              </w:rPr>
              <w:t>installation</w:t>
            </w:r>
            <w:proofErr w:type="spellEnd"/>
            <w:r>
              <w:rPr>
                <w:color w:val="000000"/>
                <w:sz w:val="18"/>
                <w:szCs w:val="18"/>
                <w:lang w:val="ru-RU" w:eastAsia="ru-RU"/>
              </w:rPr>
              <w:t xml:space="preserve"> </w:t>
            </w:r>
            <w:proofErr w:type="spellStart"/>
            <w:r>
              <w:rPr>
                <w:color w:val="000000"/>
                <w:sz w:val="18"/>
                <w:szCs w:val="18"/>
                <w:lang w:val="ru-RU" w:eastAsia="ru-RU"/>
              </w:rPr>
              <w:t>work</w:t>
            </w:r>
            <w:proofErr w:type="spellEnd"/>
          </w:p>
        </w:tc>
        <w:tc>
          <w:tcPr>
            <w:tcW w:w="144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13 094</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253 075</w:t>
            </w:r>
          </w:p>
        </w:tc>
        <w:tc>
          <w:tcPr>
            <w:tcW w:w="117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279 650</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(13 481)</w:t>
            </w:r>
          </w:p>
        </w:tc>
      </w:tr>
      <w:tr w:rsidR="00CE122C" w:rsidTr="005C6467">
        <w:trPr>
          <w:trHeight w:val="341"/>
        </w:trPr>
        <w:tc>
          <w:tcPr>
            <w:tcW w:w="555" w:type="dxa"/>
            <w:tcBorders>
              <w:top w:val="nil"/>
              <w:left w:val="single" w:sz="4" w:space="0" w:color="auto"/>
              <w:bottom w:val="single" w:sz="4" w:space="0" w:color="auto"/>
              <w:right w:val="single" w:sz="4" w:space="0" w:color="auto"/>
            </w:tcBorders>
            <w:noWrap/>
            <w:vAlign w:val="bottom"/>
            <w:hideMark/>
          </w:tcPr>
          <w:p w:rsidR="00CE122C" w:rsidRDefault="00CE122C" w:rsidP="00A34E00">
            <w:pPr>
              <w:keepNext/>
              <w:spacing w:line="276" w:lineRule="auto"/>
              <w:jc w:val="center"/>
              <w:outlineLvl w:val="0"/>
              <w:rPr>
                <w:color w:val="000000"/>
                <w:sz w:val="18"/>
                <w:szCs w:val="18"/>
                <w:lang w:val="ru-RU" w:eastAsia="ru-RU"/>
              </w:rPr>
            </w:pPr>
            <w:r>
              <w:rPr>
                <w:color w:val="000000"/>
                <w:sz w:val="18"/>
                <w:szCs w:val="18"/>
                <w:lang w:val="ru-RU" w:eastAsia="ru-RU"/>
              </w:rPr>
              <w:t>4</w:t>
            </w:r>
          </w:p>
        </w:tc>
        <w:tc>
          <w:tcPr>
            <w:tcW w:w="189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Pr>
                <w:color w:val="000000"/>
                <w:sz w:val="18"/>
                <w:szCs w:val="18"/>
                <w:vertAlign w:val="superscript"/>
                <w:lang w:val="ru-RU" w:eastAsia="ru-RU"/>
              </w:rPr>
              <w:t>2</w:t>
            </w:r>
          </w:p>
        </w:tc>
        <w:tc>
          <w:tcPr>
            <w:tcW w:w="180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audit</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44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80 110</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9 270</w:t>
            </w:r>
          </w:p>
        </w:tc>
        <w:tc>
          <w:tcPr>
            <w:tcW w:w="117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89 380</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w:t>
            </w:r>
          </w:p>
        </w:tc>
      </w:tr>
      <w:tr w:rsidR="00CE122C" w:rsidTr="005C6467">
        <w:trPr>
          <w:trHeight w:val="417"/>
        </w:trPr>
        <w:tc>
          <w:tcPr>
            <w:tcW w:w="555" w:type="dxa"/>
            <w:tcBorders>
              <w:top w:val="nil"/>
              <w:left w:val="single" w:sz="4" w:space="0" w:color="auto"/>
              <w:bottom w:val="single" w:sz="4" w:space="0" w:color="auto"/>
              <w:right w:val="single" w:sz="4" w:space="0" w:color="auto"/>
            </w:tcBorders>
            <w:noWrap/>
            <w:vAlign w:val="bottom"/>
            <w:hideMark/>
          </w:tcPr>
          <w:p w:rsidR="00CE122C" w:rsidRDefault="00CE122C" w:rsidP="00A34E00">
            <w:pPr>
              <w:keepNext/>
              <w:spacing w:line="276" w:lineRule="auto"/>
              <w:jc w:val="center"/>
              <w:outlineLvl w:val="0"/>
              <w:rPr>
                <w:color w:val="000000"/>
                <w:sz w:val="18"/>
                <w:szCs w:val="18"/>
                <w:lang w:val="ru-RU" w:eastAsia="ru-RU"/>
              </w:rPr>
            </w:pPr>
            <w:r>
              <w:rPr>
                <w:color w:val="000000"/>
                <w:sz w:val="18"/>
                <w:szCs w:val="18"/>
                <w:lang w:val="ru-RU" w:eastAsia="ru-RU"/>
              </w:rPr>
              <w:t>5</w:t>
            </w:r>
          </w:p>
        </w:tc>
        <w:tc>
          <w:tcPr>
            <w:tcW w:w="189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Pr>
                <w:color w:val="000000"/>
                <w:sz w:val="18"/>
                <w:szCs w:val="18"/>
                <w:vertAlign w:val="superscript"/>
                <w:lang w:val="ru-RU" w:eastAsia="ru-RU"/>
              </w:rPr>
              <w:t>2</w:t>
            </w:r>
          </w:p>
        </w:tc>
        <w:tc>
          <w:tcPr>
            <w:tcW w:w="180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proofErr w:type="spellStart"/>
            <w:r>
              <w:rPr>
                <w:color w:val="000000"/>
                <w:sz w:val="18"/>
                <w:szCs w:val="18"/>
                <w:lang w:val="ru-RU" w:eastAsia="ru-RU"/>
              </w:rPr>
              <w:t>calls</w:t>
            </w:r>
            <w:proofErr w:type="spellEnd"/>
            <w:r>
              <w:rPr>
                <w:color w:val="000000"/>
                <w:sz w:val="18"/>
                <w:szCs w:val="18"/>
                <w:lang w:val="ru-RU" w:eastAsia="ru-RU"/>
              </w:rPr>
              <w:t xml:space="preserve"> </w:t>
            </w:r>
            <w:proofErr w:type="spellStart"/>
            <w:r>
              <w:rPr>
                <w:color w:val="000000"/>
                <w:sz w:val="18"/>
                <w:szCs w:val="18"/>
                <w:lang w:val="ru-RU" w:eastAsia="ru-RU"/>
              </w:rPr>
              <w:t>processing</w:t>
            </w:r>
            <w:proofErr w:type="spellEnd"/>
          </w:p>
        </w:tc>
        <w:tc>
          <w:tcPr>
            <w:tcW w:w="144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4 407</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35 423</w:t>
            </w:r>
          </w:p>
        </w:tc>
        <w:tc>
          <w:tcPr>
            <w:tcW w:w="117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39 830</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w:t>
            </w:r>
          </w:p>
        </w:tc>
      </w:tr>
      <w:tr w:rsidR="00CE122C" w:rsidTr="005C6467">
        <w:trPr>
          <w:trHeight w:val="512"/>
        </w:trPr>
        <w:tc>
          <w:tcPr>
            <w:tcW w:w="555" w:type="dxa"/>
            <w:tcBorders>
              <w:top w:val="nil"/>
              <w:left w:val="single" w:sz="4" w:space="0" w:color="auto"/>
              <w:bottom w:val="single" w:sz="4" w:space="0" w:color="auto"/>
              <w:right w:val="single" w:sz="4" w:space="0" w:color="auto"/>
            </w:tcBorders>
            <w:noWrap/>
            <w:vAlign w:val="bottom"/>
            <w:hideMark/>
          </w:tcPr>
          <w:p w:rsidR="00CE122C" w:rsidRDefault="00CE122C" w:rsidP="00A34E00">
            <w:pPr>
              <w:keepNext/>
              <w:spacing w:line="276" w:lineRule="auto"/>
              <w:jc w:val="center"/>
              <w:outlineLvl w:val="0"/>
              <w:rPr>
                <w:color w:val="000000"/>
                <w:sz w:val="18"/>
                <w:szCs w:val="18"/>
                <w:lang w:val="ru-RU" w:eastAsia="ru-RU"/>
              </w:rPr>
            </w:pPr>
            <w:r>
              <w:rPr>
                <w:color w:val="000000"/>
                <w:sz w:val="18"/>
                <w:szCs w:val="18"/>
                <w:lang w:val="ru-RU" w:eastAsia="ru-RU"/>
              </w:rPr>
              <w:t>6</w:t>
            </w:r>
          </w:p>
        </w:tc>
        <w:tc>
          <w:tcPr>
            <w:tcW w:w="189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r w:rsidRPr="00AB4B4B">
              <w:rPr>
                <w:color w:val="000000"/>
                <w:sz w:val="18"/>
                <w:szCs w:val="18"/>
                <w:lang w:val="ru-RU" w:eastAsia="ru-RU"/>
              </w:rPr>
              <w:t>OJSC «</w:t>
            </w:r>
            <w:proofErr w:type="spellStart"/>
            <w:r w:rsidRPr="00AB4B4B">
              <w:rPr>
                <w:color w:val="000000"/>
                <w:sz w:val="18"/>
                <w:szCs w:val="18"/>
                <w:lang w:val="ru-RU" w:eastAsia="ru-RU"/>
              </w:rPr>
              <w:t>Sanatorium-preventorium</w:t>
            </w:r>
            <w:proofErr w:type="spellEnd"/>
            <w:r w:rsidRPr="00AB4B4B">
              <w:rPr>
                <w:color w:val="000000"/>
                <w:sz w:val="18"/>
                <w:szCs w:val="18"/>
                <w:lang w:val="ru-RU" w:eastAsia="ru-RU"/>
              </w:rPr>
              <w:t xml:space="preserve"> «</w:t>
            </w:r>
            <w:proofErr w:type="spellStart"/>
            <w:r w:rsidRPr="00AB4B4B">
              <w:rPr>
                <w:color w:val="000000"/>
                <w:sz w:val="18"/>
                <w:szCs w:val="18"/>
                <w:lang w:val="ru-RU" w:eastAsia="ru-RU"/>
              </w:rPr>
              <w:t>Energetik</w:t>
            </w:r>
            <w:proofErr w:type="spellEnd"/>
            <w:r w:rsidRPr="00781E35">
              <w:rPr>
                <w:color w:val="000000"/>
                <w:sz w:val="18"/>
                <w:szCs w:val="18"/>
                <w:lang w:val="ru-RU" w:eastAsia="ru-RU"/>
              </w:rPr>
              <w:t>»</w:t>
            </w:r>
            <w:r>
              <w:rPr>
                <w:color w:val="000000"/>
                <w:sz w:val="18"/>
                <w:szCs w:val="18"/>
                <w:vertAlign w:val="superscript"/>
                <w:lang w:val="ru-RU" w:eastAsia="ru-RU"/>
              </w:rPr>
              <w:t>2</w:t>
            </w:r>
          </w:p>
        </w:tc>
        <w:tc>
          <w:tcPr>
            <w:tcW w:w="1800" w:type="dxa"/>
            <w:tcBorders>
              <w:top w:val="nil"/>
              <w:left w:val="nil"/>
              <w:bottom w:val="single" w:sz="4" w:space="0" w:color="auto"/>
              <w:right w:val="single" w:sz="4" w:space="0" w:color="auto"/>
            </w:tcBorders>
            <w:vAlign w:val="bottom"/>
            <w:hideMark/>
          </w:tcPr>
          <w:p w:rsidR="00CE122C" w:rsidRPr="00AA048D" w:rsidRDefault="00CE122C" w:rsidP="007C4502">
            <w:pPr>
              <w:keepNext/>
              <w:jc w:val="center"/>
              <w:outlineLvl w:val="0"/>
              <w:rPr>
                <w:color w:val="000000"/>
                <w:sz w:val="18"/>
                <w:szCs w:val="18"/>
                <w:lang w:val="en-US" w:eastAsia="ru-RU"/>
              </w:rPr>
            </w:pPr>
            <w:r w:rsidRPr="00AA048D">
              <w:rPr>
                <w:color w:val="000000"/>
                <w:sz w:val="18"/>
                <w:szCs w:val="18"/>
                <w:lang w:val="en-US" w:eastAsia="ru-RU"/>
              </w:rPr>
              <w:t>services in lodging and board</w:t>
            </w:r>
          </w:p>
        </w:tc>
        <w:tc>
          <w:tcPr>
            <w:tcW w:w="144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1 089</w:t>
            </w:r>
          </w:p>
        </w:tc>
        <w:tc>
          <w:tcPr>
            <w:tcW w:w="117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1 089</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w:t>
            </w:r>
          </w:p>
        </w:tc>
      </w:tr>
      <w:tr w:rsidR="00CE122C" w:rsidTr="005C6467">
        <w:trPr>
          <w:trHeight w:val="962"/>
        </w:trPr>
        <w:tc>
          <w:tcPr>
            <w:tcW w:w="555" w:type="dxa"/>
            <w:tcBorders>
              <w:top w:val="nil"/>
              <w:left w:val="single" w:sz="4" w:space="0" w:color="auto"/>
              <w:bottom w:val="single" w:sz="4" w:space="0" w:color="auto"/>
              <w:right w:val="single" w:sz="4" w:space="0" w:color="auto"/>
            </w:tcBorders>
            <w:noWrap/>
            <w:vAlign w:val="bottom"/>
            <w:hideMark/>
          </w:tcPr>
          <w:p w:rsidR="00CE122C" w:rsidRDefault="00CE122C" w:rsidP="00A34E00">
            <w:pPr>
              <w:keepNext/>
              <w:spacing w:line="276" w:lineRule="auto"/>
              <w:jc w:val="center"/>
              <w:outlineLvl w:val="0"/>
              <w:rPr>
                <w:color w:val="000000"/>
                <w:sz w:val="18"/>
                <w:szCs w:val="18"/>
                <w:lang w:val="ru-RU" w:eastAsia="ru-RU"/>
              </w:rPr>
            </w:pPr>
            <w:r>
              <w:rPr>
                <w:color w:val="000000"/>
                <w:sz w:val="18"/>
                <w:szCs w:val="18"/>
                <w:lang w:val="ru-RU" w:eastAsia="ru-RU"/>
              </w:rPr>
              <w:t>7</w:t>
            </w:r>
          </w:p>
        </w:tc>
        <w:tc>
          <w:tcPr>
            <w:tcW w:w="1890" w:type="dxa"/>
            <w:tcBorders>
              <w:top w:val="nil"/>
              <w:left w:val="nil"/>
              <w:bottom w:val="single" w:sz="4" w:space="0" w:color="auto"/>
              <w:right w:val="single" w:sz="4" w:space="0" w:color="auto"/>
            </w:tcBorders>
            <w:vAlign w:val="bottom"/>
            <w:hideMark/>
          </w:tcPr>
          <w:p w:rsidR="00CE122C" w:rsidRPr="00781E35" w:rsidRDefault="00CE122C" w:rsidP="007C4502">
            <w:pPr>
              <w:keepNext/>
              <w:jc w:val="center"/>
              <w:outlineLvl w:val="0"/>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Sanatorium-preventorium</w:t>
            </w:r>
            <w:proofErr w:type="spellEnd"/>
            <w:r>
              <w:rPr>
                <w:color w:val="000000"/>
                <w:sz w:val="18"/>
                <w:szCs w:val="18"/>
                <w:lang w:val="ru-RU" w:eastAsia="ru-RU"/>
              </w:rPr>
              <w:t xml:space="preserve"> «</w:t>
            </w:r>
            <w:proofErr w:type="spellStart"/>
            <w:r>
              <w:rPr>
                <w:color w:val="000000"/>
                <w:sz w:val="18"/>
                <w:szCs w:val="18"/>
                <w:lang w:val="ru-RU" w:eastAsia="ru-RU"/>
              </w:rPr>
              <w:t>Energetik</w:t>
            </w:r>
            <w:proofErr w:type="spellEnd"/>
            <w:r>
              <w:rPr>
                <w:color w:val="000000"/>
                <w:sz w:val="18"/>
                <w:szCs w:val="18"/>
                <w:lang w:val="ru-RU" w:eastAsia="ru-RU"/>
              </w:rPr>
              <w:t>»</w:t>
            </w:r>
            <w:r>
              <w:rPr>
                <w:color w:val="000000"/>
                <w:sz w:val="18"/>
                <w:szCs w:val="18"/>
                <w:vertAlign w:val="superscript"/>
                <w:lang w:val="ru-RU" w:eastAsia="ru-RU"/>
              </w:rPr>
              <w:t>2</w:t>
            </w:r>
          </w:p>
        </w:tc>
        <w:tc>
          <w:tcPr>
            <w:tcW w:w="1800" w:type="dxa"/>
            <w:tcBorders>
              <w:top w:val="nil"/>
              <w:left w:val="nil"/>
              <w:bottom w:val="single" w:sz="4" w:space="0" w:color="auto"/>
              <w:right w:val="single" w:sz="4" w:space="0" w:color="auto"/>
            </w:tcBorders>
            <w:vAlign w:val="bottom"/>
            <w:hideMark/>
          </w:tcPr>
          <w:p w:rsidR="00CE122C" w:rsidRPr="00AA048D" w:rsidRDefault="00CE122C" w:rsidP="007C4502">
            <w:pPr>
              <w:keepNext/>
              <w:jc w:val="center"/>
              <w:outlineLvl w:val="0"/>
              <w:rPr>
                <w:color w:val="000000"/>
                <w:sz w:val="18"/>
                <w:szCs w:val="18"/>
                <w:lang w:val="en-US" w:eastAsia="ru-RU"/>
              </w:rPr>
            </w:pPr>
            <w:r w:rsidRPr="00AA048D">
              <w:rPr>
                <w:color w:val="000000"/>
                <w:sz w:val="18"/>
                <w:szCs w:val="18"/>
                <w:lang w:val="en-US" w:eastAsia="ru-RU"/>
              </w:rPr>
              <w:t>service of providing vouchers for resort treatment</w:t>
            </w:r>
          </w:p>
        </w:tc>
        <w:tc>
          <w:tcPr>
            <w:tcW w:w="144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25</w:t>
            </w:r>
          </w:p>
        </w:tc>
        <w:tc>
          <w:tcPr>
            <w:tcW w:w="117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245</w:t>
            </w:r>
          </w:p>
        </w:tc>
        <w:tc>
          <w:tcPr>
            <w:tcW w:w="1260" w:type="dxa"/>
            <w:tcBorders>
              <w:top w:val="nil"/>
              <w:left w:val="nil"/>
              <w:bottom w:val="single" w:sz="4" w:space="0" w:color="auto"/>
              <w:right w:val="single" w:sz="4" w:space="0" w:color="auto"/>
            </w:tcBorders>
            <w:noWrap/>
            <w:vAlign w:val="bottom"/>
            <w:hideMark/>
          </w:tcPr>
          <w:p w:rsidR="00CE122C" w:rsidRDefault="00CE122C">
            <w:pPr>
              <w:keepNext/>
              <w:spacing w:line="276" w:lineRule="auto"/>
              <w:jc w:val="right"/>
              <w:outlineLvl w:val="0"/>
              <w:rPr>
                <w:color w:val="000000"/>
                <w:sz w:val="18"/>
                <w:szCs w:val="18"/>
                <w:lang w:val="ru-RU" w:eastAsia="ru-RU"/>
              </w:rPr>
            </w:pPr>
            <w:r>
              <w:rPr>
                <w:color w:val="000000"/>
                <w:sz w:val="18"/>
                <w:szCs w:val="18"/>
                <w:lang w:val="ru-RU" w:eastAsia="ru-RU"/>
              </w:rPr>
              <w:t>-</w:t>
            </w:r>
          </w:p>
        </w:tc>
      </w:tr>
      <w:tr w:rsidR="006B26E6" w:rsidTr="005C6467">
        <w:trPr>
          <w:trHeight w:val="1241"/>
        </w:trPr>
        <w:tc>
          <w:tcPr>
            <w:tcW w:w="555" w:type="dxa"/>
            <w:tcBorders>
              <w:top w:val="nil"/>
              <w:left w:val="single" w:sz="4" w:space="0" w:color="auto"/>
              <w:bottom w:val="single" w:sz="4" w:space="0" w:color="auto"/>
              <w:right w:val="single" w:sz="4" w:space="0" w:color="auto"/>
            </w:tcBorders>
            <w:noWrap/>
            <w:vAlign w:val="bottom"/>
            <w:hideMark/>
          </w:tcPr>
          <w:p w:rsidR="006B26E6" w:rsidRDefault="006B26E6" w:rsidP="00A34E00">
            <w:pPr>
              <w:spacing w:line="276" w:lineRule="auto"/>
              <w:jc w:val="center"/>
              <w:rPr>
                <w:color w:val="000000"/>
                <w:sz w:val="18"/>
                <w:szCs w:val="18"/>
                <w:lang w:val="ru-RU" w:eastAsia="ru-RU"/>
              </w:rPr>
            </w:pPr>
            <w:r>
              <w:rPr>
                <w:color w:val="000000"/>
                <w:sz w:val="18"/>
                <w:szCs w:val="18"/>
                <w:lang w:val="ru-RU" w:eastAsia="ru-RU"/>
              </w:rPr>
              <w:t>8</w:t>
            </w:r>
          </w:p>
        </w:tc>
        <w:tc>
          <w:tcPr>
            <w:tcW w:w="1890" w:type="dxa"/>
            <w:tcBorders>
              <w:top w:val="nil"/>
              <w:left w:val="nil"/>
              <w:bottom w:val="single" w:sz="4" w:space="0" w:color="auto"/>
              <w:right w:val="single" w:sz="4" w:space="0" w:color="auto"/>
            </w:tcBorders>
            <w:vAlign w:val="bottom"/>
            <w:hideMark/>
          </w:tcPr>
          <w:p w:rsidR="006B26E6" w:rsidRPr="00781E35" w:rsidRDefault="006B26E6" w:rsidP="007C4502">
            <w:pPr>
              <w:jc w:val="center"/>
              <w:rPr>
                <w:color w:val="000000"/>
                <w:sz w:val="18"/>
                <w:szCs w:val="18"/>
                <w:lang w:val="ru-RU" w:eastAsia="ru-RU"/>
              </w:rPr>
            </w:pPr>
            <w:r>
              <w:rPr>
                <w:color w:val="000000"/>
                <w:sz w:val="18"/>
                <w:szCs w:val="18"/>
                <w:lang w:val="ru-RU" w:eastAsia="ru-RU"/>
              </w:rPr>
              <w:t>JSC «</w:t>
            </w:r>
            <w:proofErr w:type="spellStart"/>
            <w:r>
              <w:rPr>
                <w:color w:val="000000"/>
                <w:sz w:val="18"/>
                <w:szCs w:val="18"/>
                <w:lang w:val="ru-RU" w:eastAsia="ru-RU"/>
              </w:rPr>
              <w:t>Russian</w:t>
            </w:r>
            <w:proofErr w:type="spellEnd"/>
            <w:r>
              <w:rPr>
                <w:color w:val="000000"/>
                <w:sz w:val="18"/>
                <w:szCs w:val="18"/>
                <w:lang w:val="ru-RU" w:eastAsia="ru-RU"/>
              </w:rPr>
              <w:t xml:space="preserve"> </w:t>
            </w:r>
            <w:proofErr w:type="spellStart"/>
            <w:r>
              <w:rPr>
                <w:color w:val="000000"/>
                <w:sz w:val="18"/>
                <w:szCs w:val="18"/>
                <w:lang w:val="ru-RU" w:eastAsia="ru-RU"/>
              </w:rPr>
              <w:t>Grids</w:t>
            </w:r>
            <w:proofErr w:type="spellEnd"/>
            <w:r>
              <w:rPr>
                <w:color w:val="000000"/>
                <w:sz w:val="18"/>
                <w:szCs w:val="18"/>
                <w:lang w:val="ru-RU" w:eastAsia="ru-RU"/>
              </w:rPr>
              <w:t>»</w:t>
            </w:r>
            <w:r>
              <w:rPr>
                <w:rStyle w:val="af9"/>
                <w:color w:val="000000"/>
                <w:sz w:val="18"/>
                <w:szCs w:val="18"/>
                <w:lang w:val="ru-RU" w:eastAsia="ru-RU"/>
              </w:rPr>
              <w:footnoteReference w:id="3"/>
            </w:r>
          </w:p>
        </w:tc>
        <w:tc>
          <w:tcPr>
            <w:tcW w:w="1800" w:type="dxa"/>
            <w:tcBorders>
              <w:top w:val="nil"/>
              <w:left w:val="nil"/>
              <w:bottom w:val="single" w:sz="4" w:space="0" w:color="auto"/>
              <w:right w:val="single" w:sz="4" w:space="0" w:color="auto"/>
            </w:tcBorders>
            <w:vAlign w:val="bottom"/>
            <w:hideMark/>
          </w:tcPr>
          <w:p w:rsidR="006B26E6" w:rsidRPr="00AA048D" w:rsidRDefault="006B26E6" w:rsidP="007C4502">
            <w:pPr>
              <w:jc w:val="center"/>
              <w:rPr>
                <w:color w:val="000000"/>
                <w:sz w:val="18"/>
                <w:szCs w:val="18"/>
                <w:lang w:val="en-US" w:eastAsia="ru-RU"/>
              </w:rPr>
            </w:pPr>
            <w:r w:rsidRPr="00AA048D">
              <w:rPr>
                <w:color w:val="000000"/>
                <w:sz w:val="18"/>
                <w:szCs w:val="18"/>
                <w:lang w:val="en-US" w:eastAsia="ru-RU"/>
              </w:rPr>
              <w:t>service on the operation and development of the distribution electric grid complex</w:t>
            </w:r>
          </w:p>
        </w:tc>
        <w:tc>
          <w:tcPr>
            <w:tcW w:w="1440" w:type="dxa"/>
            <w:tcBorders>
              <w:top w:val="nil"/>
              <w:left w:val="nil"/>
              <w:bottom w:val="single" w:sz="4" w:space="0" w:color="auto"/>
              <w:right w:val="single" w:sz="4" w:space="0" w:color="auto"/>
            </w:tcBorders>
            <w:noWrap/>
            <w:vAlign w:val="bottom"/>
            <w:hideMark/>
          </w:tcPr>
          <w:p w:rsidR="006B26E6" w:rsidRDefault="006B26E6">
            <w:pPr>
              <w:spacing w:line="276" w:lineRule="auto"/>
              <w:jc w:val="right"/>
              <w:rPr>
                <w:color w:val="000000"/>
                <w:sz w:val="18"/>
                <w:szCs w:val="18"/>
                <w:lang w:val="ru-RU" w:eastAsia="ru-RU"/>
              </w:rPr>
            </w:pPr>
            <w:r>
              <w:rPr>
                <w:color w:val="000000"/>
                <w:sz w:val="18"/>
                <w:szCs w:val="18"/>
                <w:lang w:val="ru-RU" w:eastAsia="ru-RU"/>
              </w:rPr>
              <w:t>22 112</w:t>
            </w:r>
          </w:p>
        </w:tc>
        <w:tc>
          <w:tcPr>
            <w:tcW w:w="1260" w:type="dxa"/>
            <w:tcBorders>
              <w:top w:val="nil"/>
              <w:left w:val="nil"/>
              <w:bottom w:val="single" w:sz="4" w:space="0" w:color="auto"/>
              <w:right w:val="single" w:sz="4" w:space="0" w:color="auto"/>
            </w:tcBorders>
            <w:noWrap/>
            <w:vAlign w:val="bottom"/>
            <w:hideMark/>
          </w:tcPr>
          <w:p w:rsidR="006B26E6" w:rsidRDefault="006B26E6">
            <w:pPr>
              <w:spacing w:line="276" w:lineRule="auto"/>
              <w:jc w:val="right"/>
              <w:rPr>
                <w:color w:val="000000"/>
                <w:sz w:val="18"/>
                <w:szCs w:val="18"/>
                <w:lang w:val="ru-RU" w:eastAsia="ru-RU"/>
              </w:rPr>
            </w:pPr>
            <w:r>
              <w:rPr>
                <w:color w:val="000000"/>
                <w:sz w:val="18"/>
                <w:szCs w:val="18"/>
                <w:lang w:val="ru-RU" w:eastAsia="ru-RU"/>
              </w:rPr>
              <w:t>404 029</w:t>
            </w:r>
          </w:p>
        </w:tc>
        <w:tc>
          <w:tcPr>
            <w:tcW w:w="1170" w:type="dxa"/>
            <w:tcBorders>
              <w:top w:val="nil"/>
              <w:left w:val="nil"/>
              <w:bottom w:val="single" w:sz="4" w:space="0" w:color="auto"/>
              <w:right w:val="single" w:sz="4" w:space="0" w:color="auto"/>
            </w:tcBorders>
            <w:noWrap/>
            <w:vAlign w:val="bottom"/>
            <w:hideMark/>
          </w:tcPr>
          <w:p w:rsidR="006B26E6" w:rsidRDefault="006B26E6">
            <w:pPr>
              <w:spacing w:line="276" w:lineRule="auto"/>
              <w:jc w:val="right"/>
              <w:rPr>
                <w:color w:val="000000"/>
                <w:sz w:val="18"/>
                <w:szCs w:val="18"/>
                <w:lang w:val="ru-RU" w:eastAsia="ru-RU"/>
              </w:rPr>
            </w:pPr>
            <w:r>
              <w:rPr>
                <w:color w:val="000000"/>
                <w:sz w:val="18"/>
                <w:szCs w:val="18"/>
                <w:lang w:val="ru-RU" w:eastAsia="ru-RU"/>
              </w:rPr>
              <w:t>405 939</w:t>
            </w:r>
          </w:p>
        </w:tc>
        <w:tc>
          <w:tcPr>
            <w:tcW w:w="1260" w:type="dxa"/>
            <w:tcBorders>
              <w:top w:val="nil"/>
              <w:left w:val="nil"/>
              <w:bottom w:val="single" w:sz="4" w:space="0" w:color="auto"/>
              <w:right w:val="single" w:sz="4" w:space="0" w:color="auto"/>
            </w:tcBorders>
            <w:noWrap/>
            <w:vAlign w:val="bottom"/>
            <w:hideMark/>
          </w:tcPr>
          <w:p w:rsidR="006B26E6" w:rsidRDefault="006B26E6">
            <w:pPr>
              <w:spacing w:line="276" w:lineRule="auto"/>
              <w:jc w:val="right"/>
              <w:rPr>
                <w:color w:val="000000"/>
                <w:sz w:val="18"/>
                <w:szCs w:val="18"/>
                <w:lang w:val="ru-RU" w:eastAsia="ru-RU"/>
              </w:rPr>
            </w:pPr>
            <w:r>
              <w:rPr>
                <w:color w:val="000000"/>
                <w:sz w:val="18"/>
                <w:szCs w:val="18"/>
                <w:lang w:val="ru-RU" w:eastAsia="ru-RU"/>
              </w:rPr>
              <w:t>20 201</w:t>
            </w:r>
          </w:p>
        </w:tc>
      </w:tr>
      <w:tr w:rsidR="006A340E" w:rsidTr="005C6467">
        <w:trPr>
          <w:trHeight w:val="422"/>
        </w:trPr>
        <w:tc>
          <w:tcPr>
            <w:tcW w:w="555" w:type="dxa"/>
            <w:tcBorders>
              <w:top w:val="nil"/>
              <w:left w:val="single" w:sz="4" w:space="0" w:color="auto"/>
              <w:bottom w:val="single" w:sz="4" w:space="0" w:color="auto"/>
              <w:right w:val="single" w:sz="4" w:space="0" w:color="auto"/>
            </w:tcBorders>
            <w:noWrap/>
            <w:vAlign w:val="bottom"/>
            <w:hideMark/>
          </w:tcPr>
          <w:p w:rsidR="006A340E" w:rsidRDefault="006A340E" w:rsidP="00A34E00">
            <w:pPr>
              <w:spacing w:line="276" w:lineRule="auto"/>
              <w:jc w:val="center"/>
              <w:rPr>
                <w:color w:val="000000"/>
                <w:sz w:val="18"/>
                <w:szCs w:val="18"/>
                <w:lang w:val="ru-RU" w:eastAsia="ru-RU"/>
              </w:rPr>
            </w:pPr>
            <w:r>
              <w:rPr>
                <w:color w:val="000000"/>
                <w:sz w:val="18"/>
                <w:szCs w:val="18"/>
                <w:lang w:val="ru-RU" w:eastAsia="ru-RU"/>
              </w:rPr>
              <w:t>9</w:t>
            </w:r>
          </w:p>
        </w:tc>
        <w:tc>
          <w:tcPr>
            <w:tcW w:w="1890" w:type="dxa"/>
            <w:tcBorders>
              <w:top w:val="nil"/>
              <w:left w:val="nil"/>
              <w:bottom w:val="single" w:sz="4" w:space="0" w:color="auto"/>
              <w:right w:val="single" w:sz="4" w:space="0" w:color="auto"/>
            </w:tcBorders>
            <w:vAlign w:val="bottom"/>
            <w:hideMark/>
          </w:tcPr>
          <w:p w:rsidR="006A340E" w:rsidRPr="00781E35" w:rsidRDefault="006A340E"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Pr>
                <w:color w:val="000000"/>
                <w:sz w:val="18"/>
                <w:szCs w:val="18"/>
                <w:vertAlign w:val="superscript"/>
                <w:lang w:val="ru-RU" w:eastAsia="ru-RU"/>
              </w:rPr>
              <w:t>2</w:t>
            </w:r>
          </w:p>
        </w:tc>
        <w:tc>
          <w:tcPr>
            <w:tcW w:w="1800" w:type="dxa"/>
            <w:tcBorders>
              <w:top w:val="nil"/>
              <w:left w:val="nil"/>
              <w:bottom w:val="single" w:sz="4" w:space="0" w:color="auto"/>
              <w:right w:val="single" w:sz="4" w:space="0" w:color="auto"/>
            </w:tcBorders>
            <w:vAlign w:val="bottom"/>
            <w:hideMark/>
          </w:tcPr>
          <w:p w:rsidR="006A340E" w:rsidRPr="00781E35" w:rsidRDefault="006A340E" w:rsidP="007C4502">
            <w:pPr>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p>
        </w:tc>
        <w:tc>
          <w:tcPr>
            <w:tcW w:w="1440" w:type="dxa"/>
            <w:tcBorders>
              <w:top w:val="nil"/>
              <w:left w:val="nil"/>
              <w:bottom w:val="single" w:sz="4" w:space="0" w:color="auto"/>
              <w:right w:val="single" w:sz="4" w:space="0" w:color="auto"/>
            </w:tcBorders>
            <w:noWrap/>
            <w:vAlign w:val="bottom"/>
            <w:hideMark/>
          </w:tcPr>
          <w:p w:rsidR="006A340E" w:rsidRDefault="006A340E">
            <w:pPr>
              <w:spacing w:line="276" w:lineRule="auto"/>
              <w:jc w:val="right"/>
              <w:rPr>
                <w:color w:val="000000"/>
                <w:sz w:val="18"/>
                <w:szCs w:val="18"/>
                <w:lang w:val="ru-RU" w:eastAsia="ru-RU"/>
              </w:rPr>
            </w:pPr>
            <w:r>
              <w:rPr>
                <w:color w:val="000000"/>
                <w:sz w:val="18"/>
                <w:szCs w:val="18"/>
                <w:lang w:val="ru-RU" w:eastAsia="ru-RU"/>
              </w:rPr>
              <w:t>52 258</w:t>
            </w:r>
          </w:p>
        </w:tc>
        <w:tc>
          <w:tcPr>
            <w:tcW w:w="1260" w:type="dxa"/>
            <w:tcBorders>
              <w:top w:val="nil"/>
              <w:left w:val="nil"/>
              <w:bottom w:val="single" w:sz="4" w:space="0" w:color="auto"/>
              <w:right w:val="single" w:sz="4" w:space="0" w:color="auto"/>
            </w:tcBorders>
            <w:noWrap/>
            <w:vAlign w:val="bottom"/>
            <w:hideMark/>
          </w:tcPr>
          <w:p w:rsidR="006A340E" w:rsidRDefault="006A340E">
            <w:pPr>
              <w:spacing w:line="276" w:lineRule="auto"/>
              <w:jc w:val="right"/>
              <w:rPr>
                <w:color w:val="000000"/>
                <w:sz w:val="18"/>
                <w:szCs w:val="18"/>
                <w:lang w:val="ru-RU" w:eastAsia="ru-RU"/>
              </w:rPr>
            </w:pPr>
            <w:r>
              <w:rPr>
                <w:color w:val="000000"/>
                <w:sz w:val="18"/>
                <w:szCs w:val="18"/>
                <w:lang w:val="ru-RU" w:eastAsia="ru-RU"/>
              </w:rPr>
              <w:t>773 024</w:t>
            </w:r>
          </w:p>
        </w:tc>
        <w:tc>
          <w:tcPr>
            <w:tcW w:w="1170" w:type="dxa"/>
            <w:tcBorders>
              <w:top w:val="nil"/>
              <w:left w:val="nil"/>
              <w:bottom w:val="single" w:sz="4" w:space="0" w:color="auto"/>
              <w:right w:val="single" w:sz="4" w:space="0" w:color="auto"/>
            </w:tcBorders>
            <w:noWrap/>
            <w:vAlign w:val="bottom"/>
            <w:hideMark/>
          </w:tcPr>
          <w:p w:rsidR="006A340E" w:rsidRDefault="006A340E">
            <w:pPr>
              <w:spacing w:line="276" w:lineRule="auto"/>
              <w:jc w:val="right"/>
              <w:rPr>
                <w:color w:val="000000"/>
                <w:sz w:val="18"/>
                <w:szCs w:val="18"/>
                <w:lang w:val="ru-RU" w:eastAsia="ru-RU"/>
              </w:rPr>
            </w:pPr>
            <w:r>
              <w:rPr>
                <w:color w:val="000000"/>
                <w:sz w:val="18"/>
                <w:szCs w:val="18"/>
                <w:lang w:val="ru-RU" w:eastAsia="ru-RU"/>
              </w:rPr>
              <w:t>781 880</w:t>
            </w:r>
          </w:p>
        </w:tc>
        <w:tc>
          <w:tcPr>
            <w:tcW w:w="1260" w:type="dxa"/>
            <w:tcBorders>
              <w:top w:val="nil"/>
              <w:left w:val="nil"/>
              <w:bottom w:val="single" w:sz="4" w:space="0" w:color="auto"/>
              <w:right w:val="single" w:sz="4" w:space="0" w:color="auto"/>
            </w:tcBorders>
            <w:noWrap/>
            <w:vAlign w:val="bottom"/>
            <w:hideMark/>
          </w:tcPr>
          <w:p w:rsidR="006A340E" w:rsidRDefault="006A340E">
            <w:pPr>
              <w:spacing w:line="276" w:lineRule="auto"/>
              <w:jc w:val="right"/>
              <w:rPr>
                <w:color w:val="000000"/>
                <w:sz w:val="18"/>
                <w:szCs w:val="18"/>
                <w:lang w:val="ru-RU" w:eastAsia="ru-RU"/>
              </w:rPr>
            </w:pPr>
            <w:r>
              <w:rPr>
                <w:color w:val="000000"/>
                <w:sz w:val="18"/>
                <w:szCs w:val="18"/>
                <w:lang w:val="ru-RU" w:eastAsia="ru-RU"/>
              </w:rPr>
              <w:t>43 402</w:t>
            </w:r>
          </w:p>
        </w:tc>
      </w:tr>
      <w:tr w:rsidR="002F69D9" w:rsidTr="005C6467">
        <w:trPr>
          <w:trHeight w:val="422"/>
        </w:trPr>
        <w:tc>
          <w:tcPr>
            <w:tcW w:w="555" w:type="dxa"/>
            <w:tcBorders>
              <w:top w:val="nil"/>
              <w:left w:val="single" w:sz="4" w:space="0" w:color="auto"/>
              <w:bottom w:val="single" w:sz="4" w:space="0" w:color="auto"/>
              <w:right w:val="single" w:sz="4" w:space="0" w:color="auto"/>
            </w:tcBorders>
            <w:noWrap/>
            <w:vAlign w:val="bottom"/>
            <w:hideMark/>
          </w:tcPr>
          <w:p w:rsidR="002F69D9" w:rsidRDefault="002F69D9" w:rsidP="00A34E00">
            <w:pPr>
              <w:spacing w:line="276" w:lineRule="auto"/>
              <w:jc w:val="center"/>
              <w:rPr>
                <w:color w:val="000000"/>
                <w:sz w:val="18"/>
                <w:szCs w:val="18"/>
                <w:lang w:val="ru-RU" w:eastAsia="ru-RU"/>
              </w:rPr>
            </w:pPr>
            <w:r>
              <w:rPr>
                <w:color w:val="000000"/>
                <w:sz w:val="18"/>
                <w:szCs w:val="18"/>
                <w:lang w:val="ru-RU" w:eastAsia="ru-RU"/>
              </w:rPr>
              <w:t>10</w:t>
            </w:r>
          </w:p>
        </w:tc>
        <w:tc>
          <w:tcPr>
            <w:tcW w:w="1890" w:type="dxa"/>
            <w:tcBorders>
              <w:top w:val="nil"/>
              <w:left w:val="nil"/>
              <w:bottom w:val="single" w:sz="4" w:space="0" w:color="auto"/>
              <w:right w:val="single" w:sz="4" w:space="0" w:color="auto"/>
            </w:tcBorders>
            <w:vAlign w:val="bottom"/>
            <w:hideMark/>
          </w:tcPr>
          <w:p w:rsidR="002F69D9" w:rsidRDefault="003F76F9" w:rsidP="003F76F9">
            <w:pPr>
              <w:spacing w:line="276" w:lineRule="auto"/>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YarEGC</w:t>
            </w:r>
            <w:proofErr w:type="spellEnd"/>
            <w:r>
              <w:rPr>
                <w:color w:val="000000"/>
                <w:sz w:val="18"/>
                <w:szCs w:val="18"/>
                <w:lang w:val="ru-RU" w:eastAsia="ru-RU"/>
              </w:rPr>
              <w:t>»</w:t>
            </w:r>
            <w:r>
              <w:rPr>
                <w:color w:val="000000"/>
                <w:sz w:val="18"/>
                <w:szCs w:val="18"/>
                <w:vertAlign w:val="superscript"/>
                <w:lang w:val="ru-RU" w:eastAsia="ru-RU"/>
              </w:rPr>
              <w:t>2</w:t>
            </w:r>
          </w:p>
        </w:tc>
        <w:tc>
          <w:tcPr>
            <w:tcW w:w="1800" w:type="dxa"/>
            <w:tcBorders>
              <w:top w:val="nil"/>
              <w:left w:val="nil"/>
              <w:bottom w:val="single" w:sz="4" w:space="0" w:color="auto"/>
              <w:right w:val="single" w:sz="4" w:space="0" w:color="auto"/>
            </w:tcBorders>
            <w:vAlign w:val="bottom"/>
            <w:hideMark/>
          </w:tcPr>
          <w:p w:rsidR="002F69D9" w:rsidRDefault="006A340E" w:rsidP="005C6467">
            <w:pPr>
              <w:spacing w:line="276" w:lineRule="auto"/>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p>
        </w:tc>
        <w:tc>
          <w:tcPr>
            <w:tcW w:w="1440" w:type="dxa"/>
            <w:tcBorders>
              <w:top w:val="nil"/>
              <w:left w:val="nil"/>
              <w:bottom w:val="single" w:sz="4" w:space="0" w:color="auto"/>
              <w:right w:val="single" w:sz="4" w:space="0" w:color="auto"/>
            </w:tcBorders>
            <w:noWrap/>
            <w:vAlign w:val="bottom"/>
            <w:hideMark/>
          </w:tcPr>
          <w:p w:rsidR="002F69D9" w:rsidRDefault="002F69D9">
            <w:pPr>
              <w:spacing w:line="276" w:lineRule="auto"/>
              <w:jc w:val="right"/>
              <w:rPr>
                <w:color w:val="000000"/>
                <w:sz w:val="18"/>
                <w:szCs w:val="18"/>
                <w:lang w:val="ru-RU" w:eastAsia="ru-RU"/>
              </w:rPr>
            </w:pPr>
            <w:r>
              <w:rPr>
                <w:color w:val="000000"/>
                <w:sz w:val="18"/>
                <w:szCs w:val="18"/>
                <w:lang w:val="ru-RU" w:eastAsia="ru-RU"/>
              </w:rPr>
              <w:t>35 251</w:t>
            </w:r>
          </w:p>
        </w:tc>
        <w:tc>
          <w:tcPr>
            <w:tcW w:w="1260" w:type="dxa"/>
            <w:tcBorders>
              <w:top w:val="nil"/>
              <w:left w:val="nil"/>
              <w:bottom w:val="single" w:sz="4" w:space="0" w:color="auto"/>
              <w:right w:val="single" w:sz="4" w:space="0" w:color="auto"/>
            </w:tcBorders>
            <w:noWrap/>
            <w:vAlign w:val="bottom"/>
            <w:hideMark/>
          </w:tcPr>
          <w:p w:rsidR="002F69D9" w:rsidRDefault="002F69D9">
            <w:pPr>
              <w:spacing w:line="276" w:lineRule="auto"/>
              <w:jc w:val="right"/>
              <w:rPr>
                <w:color w:val="000000"/>
                <w:sz w:val="18"/>
                <w:szCs w:val="18"/>
                <w:lang w:val="ru-RU" w:eastAsia="ru-RU"/>
              </w:rPr>
            </w:pPr>
            <w:r>
              <w:rPr>
                <w:color w:val="000000"/>
                <w:sz w:val="18"/>
                <w:szCs w:val="18"/>
                <w:lang w:val="ru-RU" w:eastAsia="ru-RU"/>
              </w:rPr>
              <w:t>268 109</w:t>
            </w:r>
          </w:p>
        </w:tc>
        <w:tc>
          <w:tcPr>
            <w:tcW w:w="1170" w:type="dxa"/>
            <w:tcBorders>
              <w:top w:val="nil"/>
              <w:left w:val="nil"/>
              <w:bottom w:val="single" w:sz="4" w:space="0" w:color="auto"/>
              <w:right w:val="single" w:sz="4" w:space="0" w:color="auto"/>
            </w:tcBorders>
            <w:noWrap/>
            <w:vAlign w:val="bottom"/>
            <w:hideMark/>
          </w:tcPr>
          <w:p w:rsidR="002F69D9" w:rsidRDefault="002F69D9">
            <w:pPr>
              <w:spacing w:line="276" w:lineRule="auto"/>
              <w:jc w:val="right"/>
              <w:rPr>
                <w:color w:val="000000"/>
                <w:sz w:val="18"/>
                <w:szCs w:val="18"/>
                <w:lang w:val="ru-RU" w:eastAsia="ru-RU"/>
              </w:rPr>
            </w:pPr>
            <w:r>
              <w:rPr>
                <w:color w:val="000000"/>
                <w:sz w:val="18"/>
                <w:szCs w:val="18"/>
                <w:lang w:val="ru-RU" w:eastAsia="ru-RU"/>
              </w:rPr>
              <w:t>277 454</w:t>
            </w:r>
          </w:p>
        </w:tc>
        <w:tc>
          <w:tcPr>
            <w:tcW w:w="1260" w:type="dxa"/>
            <w:tcBorders>
              <w:top w:val="nil"/>
              <w:left w:val="nil"/>
              <w:bottom w:val="single" w:sz="4" w:space="0" w:color="auto"/>
              <w:right w:val="single" w:sz="4" w:space="0" w:color="auto"/>
            </w:tcBorders>
            <w:noWrap/>
            <w:vAlign w:val="bottom"/>
            <w:hideMark/>
          </w:tcPr>
          <w:p w:rsidR="002F69D9" w:rsidRDefault="002F69D9">
            <w:pPr>
              <w:spacing w:line="276" w:lineRule="auto"/>
              <w:jc w:val="right"/>
              <w:rPr>
                <w:color w:val="000000"/>
                <w:sz w:val="18"/>
                <w:szCs w:val="18"/>
                <w:lang w:val="ru-RU" w:eastAsia="ru-RU"/>
              </w:rPr>
            </w:pPr>
            <w:r>
              <w:rPr>
                <w:color w:val="000000"/>
                <w:sz w:val="18"/>
                <w:szCs w:val="18"/>
                <w:lang w:val="ru-RU" w:eastAsia="ru-RU"/>
              </w:rPr>
              <w:t>25 906</w:t>
            </w:r>
          </w:p>
        </w:tc>
      </w:tr>
      <w:tr w:rsidR="00260775" w:rsidTr="005C6467">
        <w:trPr>
          <w:trHeight w:val="332"/>
        </w:trPr>
        <w:tc>
          <w:tcPr>
            <w:tcW w:w="555" w:type="dxa"/>
            <w:tcBorders>
              <w:top w:val="nil"/>
              <w:left w:val="single" w:sz="4" w:space="0" w:color="auto"/>
              <w:bottom w:val="single" w:sz="4" w:space="0" w:color="auto"/>
              <w:right w:val="single" w:sz="4" w:space="0" w:color="auto"/>
            </w:tcBorders>
            <w:noWrap/>
            <w:vAlign w:val="bottom"/>
            <w:hideMark/>
          </w:tcPr>
          <w:p w:rsidR="00260775" w:rsidRDefault="00260775" w:rsidP="00A34E00">
            <w:pPr>
              <w:spacing w:line="276" w:lineRule="auto"/>
              <w:jc w:val="center"/>
              <w:rPr>
                <w:color w:val="000000"/>
                <w:sz w:val="18"/>
                <w:szCs w:val="18"/>
                <w:lang w:val="ru-RU" w:eastAsia="ru-RU"/>
              </w:rPr>
            </w:pPr>
            <w:r>
              <w:rPr>
                <w:color w:val="000000"/>
                <w:sz w:val="18"/>
                <w:szCs w:val="18"/>
                <w:lang w:val="ru-RU" w:eastAsia="ru-RU"/>
              </w:rPr>
              <w:t>11</w:t>
            </w:r>
          </w:p>
        </w:tc>
        <w:tc>
          <w:tcPr>
            <w:tcW w:w="1890" w:type="dxa"/>
            <w:tcBorders>
              <w:top w:val="nil"/>
              <w:left w:val="nil"/>
              <w:bottom w:val="single" w:sz="4" w:space="0" w:color="auto"/>
              <w:right w:val="single" w:sz="4" w:space="0" w:color="auto"/>
            </w:tcBorders>
            <w:vAlign w:val="bottom"/>
            <w:hideMark/>
          </w:tcPr>
          <w:p w:rsidR="00260775" w:rsidRDefault="00260775"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1</w:t>
            </w:r>
          </w:p>
        </w:tc>
        <w:tc>
          <w:tcPr>
            <w:tcW w:w="1800" w:type="dxa"/>
            <w:tcBorders>
              <w:top w:val="nil"/>
              <w:left w:val="nil"/>
              <w:bottom w:val="single" w:sz="4" w:space="0" w:color="auto"/>
              <w:right w:val="single" w:sz="4" w:space="0" w:color="auto"/>
            </w:tcBorders>
            <w:vAlign w:val="bottom"/>
            <w:hideMark/>
          </w:tcPr>
          <w:p w:rsidR="00260775" w:rsidRPr="00781E35" w:rsidRDefault="00260775" w:rsidP="007C4502">
            <w:pPr>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p>
        </w:tc>
        <w:tc>
          <w:tcPr>
            <w:tcW w:w="144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726 149</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17 390 061</w:t>
            </w:r>
          </w:p>
        </w:tc>
        <w:tc>
          <w:tcPr>
            <w:tcW w:w="117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17 028 282</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1 087 928</w:t>
            </w:r>
          </w:p>
        </w:tc>
      </w:tr>
      <w:tr w:rsidR="00260775" w:rsidTr="005C6467">
        <w:trPr>
          <w:trHeight w:val="269"/>
        </w:trPr>
        <w:tc>
          <w:tcPr>
            <w:tcW w:w="555" w:type="dxa"/>
            <w:tcBorders>
              <w:top w:val="nil"/>
              <w:left w:val="single" w:sz="4" w:space="0" w:color="auto"/>
              <w:bottom w:val="single" w:sz="4" w:space="0" w:color="auto"/>
              <w:right w:val="single" w:sz="4" w:space="0" w:color="auto"/>
            </w:tcBorders>
            <w:noWrap/>
            <w:vAlign w:val="bottom"/>
            <w:hideMark/>
          </w:tcPr>
          <w:p w:rsidR="00260775" w:rsidRDefault="00260775" w:rsidP="00A34E00">
            <w:pPr>
              <w:spacing w:line="276" w:lineRule="auto"/>
              <w:jc w:val="center"/>
              <w:rPr>
                <w:color w:val="000000"/>
                <w:sz w:val="18"/>
                <w:szCs w:val="18"/>
                <w:lang w:val="ru-RU" w:eastAsia="ru-RU"/>
              </w:rPr>
            </w:pPr>
            <w:r>
              <w:rPr>
                <w:color w:val="000000"/>
                <w:sz w:val="18"/>
                <w:szCs w:val="18"/>
                <w:lang w:val="ru-RU" w:eastAsia="ru-RU"/>
              </w:rPr>
              <w:t>12</w:t>
            </w:r>
          </w:p>
        </w:tc>
        <w:tc>
          <w:tcPr>
            <w:tcW w:w="1890" w:type="dxa"/>
            <w:tcBorders>
              <w:top w:val="nil"/>
              <w:left w:val="nil"/>
              <w:bottom w:val="single" w:sz="4" w:space="0" w:color="auto"/>
              <w:right w:val="single" w:sz="4" w:space="0" w:color="auto"/>
            </w:tcBorders>
            <w:vAlign w:val="bottom"/>
            <w:hideMark/>
          </w:tcPr>
          <w:p w:rsidR="00260775" w:rsidRDefault="00260775"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1</w:t>
            </w:r>
          </w:p>
        </w:tc>
        <w:tc>
          <w:tcPr>
            <w:tcW w:w="1800" w:type="dxa"/>
            <w:tcBorders>
              <w:top w:val="nil"/>
              <w:left w:val="nil"/>
              <w:bottom w:val="single" w:sz="4" w:space="0" w:color="auto"/>
              <w:right w:val="single" w:sz="4" w:space="0" w:color="auto"/>
            </w:tcBorders>
            <w:vAlign w:val="bottom"/>
            <w:hideMark/>
          </w:tcPr>
          <w:p w:rsidR="00260775" w:rsidRPr="00781E35" w:rsidRDefault="00260775" w:rsidP="007C4502">
            <w:pPr>
              <w:jc w:val="center"/>
              <w:rPr>
                <w:color w:val="000000"/>
                <w:sz w:val="18"/>
                <w:szCs w:val="18"/>
                <w:lang w:val="ru-RU" w:eastAsia="ru-RU"/>
              </w:rPr>
            </w:pPr>
            <w:proofErr w:type="spellStart"/>
            <w:r>
              <w:rPr>
                <w:color w:val="000000"/>
                <w:sz w:val="18"/>
                <w:szCs w:val="18"/>
                <w:lang w:val="ru-RU" w:eastAsia="ru-RU"/>
              </w:rPr>
              <w:t>grid</w:t>
            </w:r>
            <w:proofErr w:type="spellEnd"/>
            <w:r>
              <w:rPr>
                <w:color w:val="000000"/>
                <w:sz w:val="18"/>
                <w:szCs w:val="18"/>
                <w:lang w:val="ru-RU" w:eastAsia="ru-RU"/>
              </w:rPr>
              <w:t xml:space="preserve"> </w:t>
            </w:r>
            <w:proofErr w:type="spellStart"/>
            <w:r>
              <w:rPr>
                <w:color w:val="000000"/>
                <w:sz w:val="18"/>
                <w:szCs w:val="18"/>
                <w:lang w:val="ru-RU" w:eastAsia="ru-RU"/>
              </w:rPr>
              <w:t>connection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44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(32 102)</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4 782</w:t>
            </w:r>
          </w:p>
        </w:tc>
        <w:tc>
          <w:tcPr>
            <w:tcW w:w="1170" w:type="dxa"/>
            <w:tcBorders>
              <w:top w:val="nil"/>
              <w:left w:val="nil"/>
              <w:bottom w:val="single" w:sz="4" w:space="0" w:color="auto"/>
              <w:right w:val="single" w:sz="4" w:space="0" w:color="auto"/>
            </w:tcBorders>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4 784</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(32 104)</w:t>
            </w:r>
          </w:p>
        </w:tc>
      </w:tr>
      <w:tr w:rsidR="00260775" w:rsidTr="005C6467">
        <w:trPr>
          <w:trHeight w:val="912"/>
        </w:trPr>
        <w:tc>
          <w:tcPr>
            <w:tcW w:w="555" w:type="dxa"/>
            <w:tcBorders>
              <w:top w:val="nil"/>
              <w:left w:val="single" w:sz="4" w:space="0" w:color="auto"/>
              <w:bottom w:val="single" w:sz="4" w:space="0" w:color="auto"/>
              <w:right w:val="single" w:sz="4" w:space="0" w:color="auto"/>
            </w:tcBorders>
            <w:noWrap/>
            <w:vAlign w:val="bottom"/>
            <w:hideMark/>
          </w:tcPr>
          <w:p w:rsidR="00260775" w:rsidRDefault="00260775" w:rsidP="00A34E00">
            <w:pPr>
              <w:spacing w:line="276" w:lineRule="auto"/>
              <w:jc w:val="center"/>
              <w:rPr>
                <w:color w:val="000000"/>
                <w:sz w:val="18"/>
                <w:szCs w:val="18"/>
                <w:lang w:val="ru-RU" w:eastAsia="ru-RU"/>
              </w:rPr>
            </w:pPr>
            <w:r>
              <w:rPr>
                <w:color w:val="000000"/>
                <w:sz w:val="18"/>
                <w:szCs w:val="18"/>
                <w:lang w:val="ru-RU" w:eastAsia="ru-RU"/>
              </w:rPr>
              <w:t>13</w:t>
            </w:r>
          </w:p>
        </w:tc>
        <w:tc>
          <w:tcPr>
            <w:tcW w:w="1890" w:type="dxa"/>
            <w:tcBorders>
              <w:top w:val="nil"/>
              <w:left w:val="nil"/>
              <w:bottom w:val="single" w:sz="4" w:space="0" w:color="auto"/>
              <w:right w:val="single" w:sz="4" w:space="0" w:color="auto"/>
            </w:tcBorders>
            <w:vAlign w:val="bottom"/>
            <w:hideMark/>
          </w:tcPr>
          <w:p w:rsidR="00260775" w:rsidRDefault="00260775"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1</w:t>
            </w:r>
          </w:p>
        </w:tc>
        <w:tc>
          <w:tcPr>
            <w:tcW w:w="1800" w:type="dxa"/>
            <w:tcBorders>
              <w:top w:val="nil"/>
              <w:left w:val="nil"/>
              <w:bottom w:val="single" w:sz="4" w:space="0" w:color="auto"/>
              <w:right w:val="single" w:sz="4" w:space="0" w:color="auto"/>
            </w:tcBorders>
            <w:vAlign w:val="bottom"/>
            <w:hideMark/>
          </w:tcPr>
          <w:p w:rsidR="00260775" w:rsidRPr="00AA048D" w:rsidRDefault="00260775" w:rsidP="007C4502">
            <w:pPr>
              <w:jc w:val="center"/>
              <w:rPr>
                <w:color w:val="000000"/>
                <w:sz w:val="18"/>
                <w:szCs w:val="18"/>
                <w:lang w:val="en-US" w:eastAsia="ru-RU"/>
              </w:rPr>
            </w:pPr>
            <w:r w:rsidRPr="00AA048D">
              <w:rPr>
                <w:color w:val="000000"/>
                <w:sz w:val="18"/>
                <w:szCs w:val="18"/>
                <w:lang w:val="en-US" w:eastAsia="ru-RU"/>
              </w:rPr>
              <w:t>technical supervision of electric grid facilities</w:t>
            </w:r>
          </w:p>
        </w:tc>
        <w:tc>
          <w:tcPr>
            <w:tcW w:w="144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12 585</w:t>
            </w:r>
          </w:p>
        </w:tc>
        <w:tc>
          <w:tcPr>
            <w:tcW w:w="117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12 585</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w:t>
            </w:r>
          </w:p>
        </w:tc>
      </w:tr>
      <w:tr w:rsidR="00260775" w:rsidTr="005C6467">
        <w:trPr>
          <w:trHeight w:val="300"/>
        </w:trPr>
        <w:tc>
          <w:tcPr>
            <w:tcW w:w="555" w:type="dxa"/>
            <w:tcBorders>
              <w:top w:val="nil"/>
              <w:left w:val="single" w:sz="4" w:space="0" w:color="auto"/>
              <w:bottom w:val="single" w:sz="4" w:space="0" w:color="auto"/>
              <w:right w:val="single" w:sz="4" w:space="0" w:color="auto"/>
            </w:tcBorders>
            <w:noWrap/>
            <w:vAlign w:val="bottom"/>
            <w:hideMark/>
          </w:tcPr>
          <w:p w:rsidR="00260775" w:rsidRDefault="00260775" w:rsidP="00A34E00">
            <w:pPr>
              <w:spacing w:line="276" w:lineRule="auto"/>
              <w:jc w:val="center"/>
              <w:rPr>
                <w:color w:val="000000"/>
                <w:sz w:val="18"/>
                <w:szCs w:val="18"/>
                <w:lang w:val="ru-RU" w:eastAsia="ru-RU"/>
              </w:rPr>
            </w:pPr>
            <w:r>
              <w:rPr>
                <w:color w:val="000000"/>
                <w:sz w:val="18"/>
                <w:szCs w:val="18"/>
                <w:lang w:val="ru-RU" w:eastAsia="ru-RU"/>
              </w:rPr>
              <w:t>14</w:t>
            </w:r>
          </w:p>
        </w:tc>
        <w:tc>
          <w:tcPr>
            <w:tcW w:w="1890" w:type="dxa"/>
            <w:tcBorders>
              <w:top w:val="nil"/>
              <w:left w:val="nil"/>
              <w:bottom w:val="single" w:sz="4" w:space="0" w:color="auto"/>
              <w:right w:val="single" w:sz="4" w:space="0" w:color="auto"/>
            </w:tcBorders>
            <w:vAlign w:val="bottom"/>
            <w:hideMark/>
          </w:tcPr>
          <w:p w:rsidR="00260775" w:rsidRDefault="00260775"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1</w:t>
            </w:r>
          </w:p>
        </w:tc>
        <w:tc>
          <w:tcPr>
            <w:tcW w:w="1800" w:type="dxa"/>
            <w:tcBorders>
              <w:top w:val="nil"/>
              <w:left w:val="nil"/>
              <w:bottom w:val="single" w:sz="4" w:space="0" w:color="auto"/>
              <w:right w:val="single" w:sz="4" w:space="0" w:color="auto"/>
            </w:tcBorders>
            <w:vAlign w:val="bottom"/>
            <w:hideMark/>
          </w:tcPr>
          <w:p w:rsidR="00260775" w:rsidRPr="00781E35" w:rsidRDefault="00260775" w:rsidP="007C4502">
            <w:pPr>
              <w:jc w:val="center"/>
              <w:rPr>
                <w:color w:val="000000"/>
                <w:sz w:val="18"/>
                <w:szCs w:val="18"/>
                <w:lang w:val="ru-RU" w:eastAsia="ru-RU"/>
              </w:rPr>
            </w:pPr>
            <w:proofErr w:type="spellStart"/>
            <w:r>
              <w:rPr>
                <w:color w:val="000000"/>
                <w:sz w:val="18"/>
                <w:szCs w:val="18"/>
                <w:lang w:val="ru-RU" w:eastAsia="ru-RU"/>
              </w:rPr>
              <w:t>lease</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44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(9 734)</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833</w:t>
            </w:r>
          </w:p>
        </w:tc>
        <w:tc>
          <w:tcPr>
            <w:tcW w:w="117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226</w:t>
            </w:r>
          </w:p>
        </w:tc>
        <w:tc>
          <w:tcPr>
            <w:tcW w:w="1260" w:type="dxa"/>
            <w:tcBorders>
              <w:top w:val="nil"/>
              <w:left w:val="nil"/>
              <w:bottom w:val="single" w:sz="4" w:space="0" w:color="auto"/>
              <w:right w:val="single" w:sz="4" w:space="0" w:color="auto"/>
            </w:tcBorders>
            <w:noWrap/>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(9 127)</w:t>
            </w:r>
          </w:p>
        </w:tc>
      </w:tr>
      <w:tr w:rsidR="00260775" w:rsidTr="005C6467">
        <w:trPr>
          <w:trHeight w:val="495"/>
        </w:trPr>
        <w:tc>
          <w:tcPr>
            <w:tcW w:w="555" w:type="dxa"/>
            <w:tcBorders>
              <w:top w:val="nil"/>
              <w:left w:val="single" w:sz="4" w:space="0" w:color="auto"/>
              <w:bottom w:val="single" w:sz="4" w:space="0" w:color="auto"/>
              <w:right w:val="single" w:sz="4" w:space="0" w:color="auto"/>
            </w:tcBorders>
            <w:noWrap/>
            <w:vAlign w:val="bottom"/>
            <w:hideMark/>
          </w:tcPr>
          <w:p w:rsidR="00260775" w:rsidRDefault="00260775" w:rsidP="00A34E00">
            <w:pPr>
              <w:spacing w:line="276" w:lineRule="auto"/>
              <w:jc w:val="center"/>
              <w:rPr>
                <w:color w:val="000000"/>
                <w:sz w:val="18"/>
                <w:szCs w:val="18"/>
                <w:lang w:val="ru-RU" w:eastAsia="ru-RU"/>
              </w:rPr>
            </w:pPr>
            <w:r>
              <w:rPr>
                <w:color w:val="000000"/>
                <w:sz w:val="18"/>
                <w:szCs w:val="18"/>
                <w:lang w:val="ru-RU" w:eastAsia="ru-RU"/>
              </w:rPr>
              <w:t>15</w:t>
            </w:r>
          </w:p>
        </w:tc>
        <w:tc>
          <w:tcPr>
            <w:tcW w:w="1890" w:type="dxa"/>
            <w:tcBorders>
              <w:top w:val="nil"/>
              <w:left w:val="nil"/>
              <w:bottom w:val="single" w:sz="4" w:space="0" w:color="auto"/>
              <w:right w:val="single" w:sz="4" w:space="0" w:color="auto"/>
            </w:tcBorders>
            <w:vAlign w:val="bottom"/>
            <w:hideMark/>
          </w:tcPr>
          <w:p w:rsidR="00260775" w:rsidRDefault="00260775"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1</w:t>
            </w:r>
          </w:p>
        </w:tc>
        <w:tc>
          <w:tcPr>
            <w:tcW w:w="1800" w:type="dxa"/>
            <w:tcBorders>
              <w:top w:val="nil"/>
              <w:left w:val="nil"/>
              <w:bottom w:val="single" w:sz="4" w:space="0" w:color="auto"/>
              <w:right w:val="single" w:sz="4" w:space="0" w:color="auto"/>
            </w:tcBorders>
            <w:vAlign w:val="bottom"/>
            <w:hideMark/>
          </w:tcPr>
          <w:p w:rsidR="00260775" w:rsidRPr="00781E35" w:rsidRDefault="00260775" w:rsidP="007C4502">
            <w:pPr>
              <w:jc w:val="center"/>
              <w:rPr>
                <w:color w:val="000000"/>
                <w:sz w:val="18"/>
                <w:szCs w:val="18"/>
                <w:lang w:val="ru-RU" w:eastAsia="ru-RU"/>
              </w:rPr>
            </w:pPr>
            <w:proofErr w:type="spellStart"/>
            <w:r>
              <w:rPr>
                <w:color w:val="000000"/>
                <w:sz w:val="18"/>
                <w:szCs w:val="18"/>
                <w:lang w:val="ru-RU" w:eastAsia="ru-RU"/>
              </w:rPr>
              <w:t>construction</w:t>
            </w:r>
            <w:proofErr w:type="spellEnd"/>
            <w:r>
              <w:rPr>
                <w:color w:val="000000"/>
                <w:sz w:val="18"/>
                <w:szCs w:val="18"/>
                <w:lang w:val="ru-RU" w:eastAsia="ru-RU"/>
              </w:rPr>
              <w:t xml:space="preserve"> </w:t>
            </w:r>
            <w:proofErr w:type="spellStart"/>
            <w:r>
              <w:rPr>
                <w:color w:val="000000"/>
                <w:sz w:val="18"/>
                <w:szCs w:val="18"/>
                <w:lang w:val="ru-RU" w:eastAsia="ru-RU"/>
              </w:rPr>
              <w:t>and</w:t>
            </w:r>
            <w:proofErr w:type="spellEnd"/>
            <w:r>
              <w:rPr>
                <w:color w:val="000000"/>
                <w:sz w:val="18"/>
                <w:szCs w:val="18"/>
                <w:lang w:val="ru-RU" w:eastAsia="ru-RU"/>
              </w:rPr>
              <w:t xml:space="preserve"> </w:t>
            </w:r>
            <w:proofErr w:type="spellStart"/>
            <w:r>
              <w:rPr>
                <w:color w:val="000000"/>
                <w:sz w:val="18"/>
                <w:szCs w:val="18"/>
                <w:lang w:val="ru-RU" w:eastAsia="ru-RU"/>
              </w:rPr>
              <w:t>installation</w:t>
            </w:r>
            <w:proofErr w:type="spellEnd"/>
            <w:r>
              <w:rPr>
                <w:color w:val="000000"/>
                <w:sz w:val="18"/>
                <w:szCs w:val="18"/>
                <w:lang w:val="ru-RU" w:eastAsia="ru-RU"/>
              </w:rPr>
              <w:t xml:space="preserve"> </w:t>
            </w:r>
            <w:proofErr w:type="spellStart"/>
            <w:r>
              <w:rPr>
                <w:color w:val="000000"/>
                <w:sz w:val="18"/>
                <w:szCs w:val="18"/>
                <w:lang w:val="ru-RU" w:eastAsia="ru-RU"/>
              </w:rPr>
              <w:t>work</w:t>
            </w:r>
            <w:proofErr w:type="spellEnd"/>
          </w:p>
        </w:tc>
        <w:tc>
          <w:tcPr>
            <w:tcW w:w="1440" w:type="dxa"/>
            <w:tcBorders>
              <w:top w:val="nil"/>
              <w:left w:val="nil"/>
              <w:bottom w:val="single" w:sz="4" w:space="0" w:color="auto"/>
              <w:right w:val="single" w:sz="4" w:space="0" w:color="auto"/>
            </w:tcBorders>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(1 140)</w:t>
            </w:r>
          </w:p>
        </w:tc>
        <w:tc>
          <w:tcPr>
            <w:tcW w:w="1260" w:type="dxa"/>
            <w:tcBorders>
              <w:top w:val="nil"/>
              <w:left w:val="nil"/>
              <w:bottom w:val="single" w:sz="4" w:space="0" w:color="auto"/>
              <w:right w:val="single" w:sz="4" w:space="0" w:color="auto"/>
            </w:tcBorders>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nil"/>
              <w:left w:val="nil"/>
              <w:bottom w:val="single" w:sz="4" w:space="0" w:color="auto"/>
              <w:right w:val="single" w:sz="4" w:space="0" w:color="auto"/>
            </w:tcBorders>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nil"/>
              <w:left w:val="nil"/>
              <w:bottom w:val="single" w:sz="4" w:space="0" w:color="auto"/>
              <w:right w:val="single" w:sz="4" w:space="0" w:color="auto"/>
            </w:tcBorders>
            <w:vAlign w:val="bottom"/>
            <w:hideMark/>
          </w:tcPr>
          <w:p w:rsidR="00260775" w:rsidRDefault="00260775">
            <w:pPr>
              <w:spacing w:line="276" w:lineRule="auto"/>
              <w:jc w:val="right"/>
              <w:rPr>
                <w:color w:val="000000"/>
                <w:sz w:val="18"/>
                <w:szCs w:val="18"/>
                <w:lang w:val="ru-RU" w:eastAsia="ru-RU"/>
              </w:rPr>
            </w:pPr>
            <w:r>
              <w:rPr>
                <w:color w:val="000000"/>
                <w:sz w:val="18"/>
                <w:szCs w:val="18"/>
                <w:lang w:val="ru-RU" w:eastAsia="ru-RU"/>
              </w:rPr>
              <w:t>(1 140)</w:t>
            </w:r>
          </w:p>
        </w:tc>
      </w:tr>
    </w:tbl>
    <w:p w:rsidR="00BC27AE" w:rsidRDefault="00BC27AE" w:rsidP="004034FB">
      <w:pPr>
        <w:pStyle w:val="ab"/>
        <w:spacing w:after="80"/>
        <w:ind w:left="0"/>
        <w:contextualSpacing w:val="0"/>
        <w:jc w:val="both"/>
        <w:rPr>
          <w:sz w:val="14"/>
          <w:szCs w:val="14"/>
          <w:lang w:val="ru-RU" w:eastAsia="ru-RU"/>
        </w:rPr>
      </w:pPr>
    </w:p>
    <w:p w:rsidR="00BC27AE" w:rsidRPr="00260775" w:rsidRDefault="00BC27AE" w:rsidP="00BC27AE">
      <w:pPr>
        <w:pStyle w:val="ab"/>
        <w:spacing w:after="80"/>
        <w:ind w:left="0"/>
        <w:contextualSpacing w:val="0"/>
        <w:jc w:val="both"/>
        <w:rPr>
          <w:bCs/>
          <w:iCs/>
          <w:sz w:val="24"/>
          <w:szCs w:val="24"/>
          <w:lang w:val="en-US" w:eastAsia="ru-RU"/>
        </w:rPr>
      </w:pPr>
      <w:r>
        <w:rPr>
          <w:rStyle w:val="af9"/>
        </w:rPr>
        <w:footnoteRef/>
      </w:r>
      <w:r w:rsidRPr="00260775">
        <w:rPr>
          <w:lang w:val="en-US"/>
        </w:rPr>
        <w:t xml:space="preserve"> </w:t>
      </w:r>
      <w:r w:rsidR="00260775" w:rsidRPr="00AA048D">
        <w:rPr>
          <w:sz w:val="14"/>
          <w:szCs w:val="14"/>
          <w:lang w:val="en-US" w:eastAsia="ru-RU"/>
        </w:rPr>
        <w:t>A legal entity which is a subsidiary of the same company, which is a subsidiary of the Company itself</w:t>
      </w:r>
      <w:r w:rsidRPr="00260775">
        <w:rPr>
          <w:bCs/>
          <w:iCs/>
          <w:sz w:val="24"/>
          <w:szCs w:val="24"/>
          <w:lang w:val="en-US" w:eastAsia="ru-RU"/>
        </w:rPr>
        <w:t xml:space="preserve"> </w:t>
      </w:r>
    </w:p>
    <w:p w:rsidR="00BC27AE" w:rsidRPr="00260775" w:rsidRDefault="00BC27AE" w:rsidP="00E177BA">
      <w:pPr>
        <w:pStyle w:val="ab"/>
        <w:spacing w:after="80"/>
        <w:ind w:left="0" w:firstLine="720"/>
        <w:contextualSpacing w:val="0"/>
        <w:jc w:val="both"/>
        <w:rPr>
          <w:bCs/>
          <w:iCs/>
          <w:sz w:val="24"/>
          <w:szCs w:val="24"/>
          <w:lang w:val="en-US" w:eastAsia="ru-RU"/>
        </w:rPr>
      </w:pPr>
    </w:p>
    <w:p w:rsidR="000771AD" w:rsidRPr="00022789" w:rsidRDefault="00727670" w:rsidP="00E177BA">
      <w:pPr>
        <w:pStyle w:val="ab"/>
        <w:spacing w:after="80"/>
        <w:ind w:left="0" w:firstLine="720"/>
        <w:contextualSpacing w:val="0"/>
        <w:jc w:val="both"/>
        <w:rPr>
          <w:sz w:val="24"/>
          <w:szCs w:val="24"/>
          <w:lang w:val="en-US" w:eastAsia="ru-RU"/>
        </w:rPr>
      </w:pPr>
      <w:r w:rsidRPr="00726828">
        <w:rPr>
          <w:bCs/>
          <w:iCs/>
          <w:sz w:val="24"/>
          <w:szCs w:val="24"/>
          <w:lang w:val="en-US" w:eastAsia="ru-RU"/>
        </w:rPr>
        <w:t>3.11.2.</w:t>
      </w:r>
      <w:r w:rsidR="00E617C0" w:rsidRPr="00726828">
        <w:rPr>
          <w:bCs/>
          <w:iCs/>
          <w:sz w:val="24"/>
          <w:szCs w:val="24"/>
          <w:lang w:val="en-US" w:eastAsia="ru-RU"/>
        </w:rPr>
        <w:t xml:space="preserve"> </w:t>
      </w:r>
      <w:r w:rsidR="00022789" w:rsidRPr="00046B10">
        <w:rPr>
          <w:sz w:val="24"/>
          <w:szCs w:val="24"/>
          <w:lang w:val="en-US" w:eastAsia="ru-RU"/>
        </w:rPr>
        <w:t>Settlements on contractual obligations for services provided by the Company to affiliates in</w:t>
      </w:r>
      <w:r w:rsidR="00022789" w:rsidRPr="00022789">
        <w:rPr>
          <w:sz w:val="24"/>
          <w:szCs w:val="24"/>
          <w:lang w:val="en-US" w:eastAsia="ru-RU"/>
        </w:rPr>
        <w:t xml:space="preserve"> </w:t>
      </w:r>
      <w:r w:rsidR="00F82124" w:rsidRPr="00022789">
        <w:rPr>
          <w:sz w:val="24"/>
          <w:szCs w:val="24"/>
          <w:lang w:val="en-US" w:eastAsia="ru-RU"/>
        </w:rPr>
        <w:t>2013:</w:t>
      </w:r>
    </w:p>
    <w:p w:rsidR="00217AA5" w:rsidRPr="00022789" w:rsidRDefault="00217AA5" w:rsidP="00727670">
      <w:pPr>
        <w:rPr>
          <w:sz w:val="18"/>
          <w:szCs w:val="18"/>
          <w:lang w:val="en-US"/>
        </w:rPr>
      </w:pP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5"/>
        <w:gridCol w:w="1879"/>
        <w:gridCol w:w="1821"/>
        <w:gridCol w:w="1440"/>
        <w:gridCol w:w="1260"/>
        <w:gridCol w:w="1170"/>
        <w:gridCol w:w="1260"/>
      </w:tblGrid>
      <w:tr w:rsidR="005A246D" w:rsidRPr="00FF15EC" w:rsidTr="003D616C">
        <w:trPr>
          <w:tblHeader/>
        </w:trPr>
        <w:tc>
          <w:tcPr>
            <w:tcW w:w="545" w:type="dxa"/>
            <w:tcBorders>
              <w:top w:val="single" w:sz="4" w:space="0" w:color="auto"/>
              <w:left w:val="single" w:sz="4" w:space="0" w:color="auto"/>
              <w:bottom w:val="single" w:sz="4" w:space="0" w:color="auto"/>
              <w:right w:val="single" w:sz="4" w:space="0" w:color="auto"/>
            </w:tcBorders>
            <w:vAlign w:val="bottom"/>
            <w:hideMark/>
          </w:tcPr>
          <w:p w:rsidR="005A246D" w:rsidRPr="00E177BA" w:rsidRDefault="005A246D" w:rsidP="007C4502">
            <w:pPr>
              <w:jc w:val="center"/>
              <w:rPr>
                <w:b/>
                <w:bCs/>
                <w:color w:val="000000"/>
                <w:sz w:val="18"/>
                <w:szCs w:val="18"/>
                <w:lang w:val="ru-RU" w:eastAsia="ru-RU"/>
              </w:rPr>
            </w:pPr>
            <w:proofErr w:type="spellStart"/>
            <w:r>
              <w:rPr>
                <w:b/>
                <w:bCs/>
                <w:color w:val="000000"/>
                <w:sz w:val="18"/>
                <w:szCs w:val="18"/>
                <w:lang w:val="ru-RU" w:eastAsia="ru-RU"/>
              </w:rPr>
              <w:lastRenderedPageBreak/>
              <w:t>Item</w:t>
            </w:r>
            <w:proofErr w:type="spellEnd"/>
            <w:r>
              <w:rPr>
                <w:b/>
                <w:bCs/>
                <w:color w:val="000000"/>
                <w:sz w:val="18"/>
                <w:szCs w:val="18"/>
                <w:lang w:val="ru-RU" w:eastAsia="ru-RU"/>
              </w:rPr>
              <w:t xml:space="preserve"> #</w:t>
            </w:r>
          </w:p>
        </w:tc>
        <w:tc>
          <w:tcPr>
            <w:tcW w:w="1879" w:type="dxa"/>
            <w:tcBorders>
              <w:top w:val="single" w:sz="4" w:space="0" w:color="auto"/>
              <w:left w:val="single" w:sz="4" w:space="0" w:color="auto"/>
              <w:bottom w:val="single" w:sz="4" w:space="0" w:color="auto"/>
              <w:right w:val="single" w:sz="4" w:space="0" w:color="auto"/>
            </w:tcBorders>
            <w:vAlign w:val="bottom"/>
            <w:hideMark/>
          </w:tcPr>
          <w:p w:rsidR="005A246D" w:rsidRPr="00907317" w:rsidRDefault="005A246D" w:rsidP="007C4502">
            <w:pPr>
              <w:jc w:val="center"/>
              <w:rPr>
                <w:b/>
                <w:bCs/>
                <w:color w:val="000000"/>
                <w:sz w:val="18"/>
                <w:szCs w:val="18"/>
                <w:lang w:val="en-US" w:eastAsia="ru-RU"/>
              </w:rPr>
            </w:pPr>
            <w:r w:rsidRPr="00907317">
              <w:rPr>
                <w:b/>
                <w:bCs/>
                <w:color w:val="000000"/>
                <w:sz w:val="18"/>
                <w:szCs w:val="18"/>
                <w:lang w:val="en-US" w:eastAsia="ru-RU"/>
              </w:rPr>
              <w:t>Name of the organization - an affiliate</w:t>
            </w:r>
          </w:p>
        </w:tc>
        <w:tc>
          <w:tcPr>
            <w:tcW w:w="1821" w:type="dxa"/>
            <w:tcBorders>
              <w:top w:val="single" w:sz="4" w:space="0" w:color="auto"/>
              <w:left w:val="single" w:sz="4" w:space="0" w:color="auto"/>
              <w:bottom w:val="single" w:sz="4" w:space="0" w:color="auto"/>
              <w:right w:val="single" w:sz="4" w:space="0" w:color="auto"/>
            </w:tcBorders>
            <w:vAlign w:val="bottom"/>
            <w:hideMark/>
          </w:tcPr>
          <w:p w:rsidR="005A246D" w:rsidRPr="00E177BA" w:rsidRDefault="005A246D" w:rsidP="007C4502">
            <w:pPr>
              <w:jc w:val="center"/>
              <w:rPr>
                <w:b/>
                <w:bCs/>
                <w:color w:val="000000"/>
                <w:sz w:val="18"/>
                <w:szCs w:val="18"/>
                <w:lang w:val="ru-RU" w:eastAsia="ru-RU"/>
              </w:rPr>
            </w:pPr>
            <w:proofErr w:type="spellStart"/>
            <w:r>
              <w:rPr>
                <w:b/>
                <w:bCs/>
                <w:color w:val="000000"/>
                <w:sz w:val="18"/>
                <w:szCs w:val="18"/>
                <w:lang w:val="ru-RU" w:eastAsia="ru-RU"/>
              </w:rPr>
              <w:t>Service</w:t>
            </w:r>
            <w:proofErr w:type="spellEnd"/>
            <w:r>
              <w:rPr>
                <w:b/>
                <w:bCs/>
                <w:color w:val="000000"/>
                <w:sz w:val="18"/>
                <w:szCs w:val="18"/>
                <w:lang w:val="ru-RU" w:eastAsia="ru-RU"/>
              </w:rPr>
              <w:t xml:space="preserve"> </w:t>
            </w:r>
            <w:proofErr w:type="spellStart"/>
            <w:r>
              <w:rPr>
                <w:b/>
                <w:bCs/>
                <w:color w:val="000000"/>
                <w:sz w:val="18"/>
                <w:szCs w:val="18"/>
                <w:lang w:val="ru-RU" w:eastAsia="ru-RU"/>
              </w:rPr>
              <w:t>type</w:t>
            </w:r>
            <w:proofErr w:type="spellEnd"/>
          </w:p>
        </w:tc>
        <w:tc>
          <w:tcPr>
            <w:tcW w:w="1440" w:type="dxa"/>
            <w:tcBorders>
              <w:top w:val="single" w:sz="4" w:space="0" w:color="auto"/>
              <w:left w:val="single" w:sz="4" w:space="0" w:color="auto"/>
              <w:bottom w:val="single" w:sz="4" w:space="0" w:color="auto"/>
              <w:right w:val="single" w:sz="4" w:space="0" w:color="auto"/>
            </w:tcBorders>
            <w:vAlign w:val="bottom"/>
            <w:hideMark/>
          </w:tcPr>
          <w:p w:rsidR="005A246D" w:rsidRPr="00E177BA" w:rsidRDefault="005A246D" w:rsidP="007C4502">
            <w:pPr>
              <w:jc w:val="center"/>
              <w:rPr>
                <w:b/>
                <w:bCs/>
                <w:color w:val="000000"/>
                <w:sz w:val="18"/>
                <w:szCs w:val="18"/>
                <w:lang w:val="ru-RU" w:eastAsia="ru-RU"/>
              </w:rPr>
            </w:pPr>
            <w:r w:rsidRPr="00907317">
              <w:rPr>
                <w:b/>
                <w:bCs/>
                <w:color w:val="000000"/>
                <w:sz w:val="18"/>
                <w:szCs w:val="18"/>
                <w:lang w:val="en-US" w:eastAsia="ru-RU"/>
              </w:rPr>
              <w:t xml:space="preserve">Total accounts receivable (+) / payable (-) as </w:t>
            </w:r>
            <w:proofErr w:type="gramStart"/>
            <w:r w:rsidRPr="00907317">
              <w:rPr>
                <w:b/>
                <w:bCs/>
                <w:color w:val="000000"/>
                <w:sz w:val="18"/>
                <w:szCs w:val="18"/>
                <w:lang w:val="en-US" w:eastAsia="ru-RU"/>
              </w:rPr>
              <w:t>at  31.12.2012</w:t>
            </w:r>
            <w:proofErr w:type="gramEnd"/>
            <w:r w:rsidRPr="00907317">
              <w:rPr>
                <w:b/>
                <w:bCs/>
                <w:color w:val="000000"/>
                <w:sz w:val="18"/>
                <w:szCs w:val="18"/>
                <w:lang w:val="en-US" w:eastAsia="ru-RU"/>
              </w:rPr>
              <w:t xml:space="preserve">, </w:t>
            </w:r>
            <w:proofErr w:type="spellStart"/>
            <w:r w:rsidRPr="00907317">
              <w:rPr>
                <w:b/>
                <w:bCs/>
                <w:color w:val="000000"/>
                <w:sz w:val="18"/>
                <w:szCs w:val="18"/>
                <w:lang w:val="en-US" w:eastAsia="ru-RU"/>
              </w:rPr>
              <w:t>thous</w:t>
            </w:r>
            <w:proofErr w:type="spellEnd"/>
            <w:r w:rsidRPr="00907317">
              <w:rPr>
                <w:b/>
                <w:bCs/>
                <w:color w:val="000000"/>
                <w:sz w:val="18"/>
                <w:szCs w:val="18"/>
                <w:lang w:val="en-US" w:eastAsia="ru-RU"/>
              </w:rPr>
              <w:t xml:space="preserve">. </w:t>
            </w:r>
            <w:r>
              <w:rPr>
                <w:b/>
                <w:bCs/>
                <w:color w:val="000000"/>
                <w:sz w:val="18"/>
                <w:szCs w:val="18"/>
                <w:lang w:val="ru-RU" w:eastAsia="ru-RU"/>
              </w:rPr>
              <w:t>RUB</w:t>
            </w:r>
            <w:r w:rsidRPr="00E177BA">
              <w:rPr>
                <w:b/>
                <w:bCs/>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vAlign w:val="bottom"/>
            <w:hideMark/>
          </w:tcPr>
          <w:p w:rsidR="005A246D" w:rsidRPr="000F7C56" w:rsidRDefault="005A246D" w:rsidP="007C4502">
            <w:pPr>
              <w:jc w:val="center"/>
              <w:rPr>
                <w:b/>
                <w:bCs/>
                <w:color w:val="000000"/>
                <w:sz w:val="18"/>
                <w:szCs w:val="18"/>
                <w:lang w:val="en-US" w:eastAsia="ru-RU"/>
              </w:rPr>
            </w:pPr>
            <w:r w:rsidRPr="000F7C56">
              <w:rPr>
                <w:b/>
                <w:bCs/>
                <w:color w:val="000000"/>
                <w:sz w:val="18"/>
                <w:szCs w:val="18"/>
                <w:lang w:val="en-US" w:eastAsia="ru-RU"/>
              </w:rPr>
              <w:t xml:space="preserve">Amount of charges, </w:t>
            </w:r>
            <w:proofErr w:type="spellStart"/>
            <w:r w:rsidRPr="000F7C56">
              <w:rPr>
                <w:b/>
                <w:bCs/>
                <w:color w:val="000000"/>
                <w:sz w:val="18"/>
                <w:szCs w:val="18"/>
                <w:lang w:val="en-US" w:eastAsia="ru-RU"/>
              </w:rPr>
              <w:t>thous</w:t>
            </w:r>
            <w:proofErr w:type="spellEnd"/>
            <w:r w:rsidRPr="000F7C56">
              <w:rPr>
                <w:b/>
                <w:bCs/>
                <w:color w:val="000000"/>
                <w:sz w:val="18"/>
                <w:szCs w:val="18"/>
                <w:lang w:val="en-US" w:eastAsia="ru-RU"/>
              </w:rPr>
              <w:t>. RUB.</w:t>
            </w:r>
          </w:p>
        </w:tc>
        <w:tc>
          <w:tcPr>
            <w:tcW w:w="1170" w:type="dxa"/>
            <w:tcBorders>
              <w:top w:val="single" w:sz="4" w:space="0" w:color="auto"/>
              <w:left w:val="single" w:sz="4" w:space="0" w:color="auto"/>
              <w:bottom w:val="single" w:sz="4" w:space="0" w:color="auto"/>
              <w:right w:val="single" w:sz="4" w:space="0" w:color="auto"/>
            </w:tcBorders>
            <w:vAlign w:val="bottom"/>
            <w:hideMark/>
          </w:tcPr>
          <w:p w:rsidR="005A246D" w:rsidRPr="00E177BA" w:rsidRDefault="005A246D" w:rsidP="007C4502">
            <w:pPr>
              <w:jc w:val="center"/>
              <w:rPr>
                <w:b/>
                <w:bCs/>
                <w:color w:val="000000"/>
                <w:sz w:val="18"/>
                <w:szCs w:val="18"/>
                <w:lang w:val="ru-RU" w:eastAsia="ru-RU"/>
              </w:rPr>
            </w:pPr>
            <w:proofErr w:type="spellStart"/>
            <w:r>
              <w:rPr>
                <w:b/>
                <w:bCs/>
                <w:color w:val="000000"/>
                <w:sz w:val="18"/>
                <w:szCs w:val="18"/>
                <w:lang w:val="ru-RU" w:eastAsia="ru-RU"/>
              </w:rPr>
              <w:t>Maturity</w:t>
            </w:r>
            <w:proofErr w:type="spellEnd"/>
            <w:r>
              <w:rPr>
                <w:b/>
                <w:bCs/>
                <w:color w:val="000000"/>
                <w:sz w:val="18"/>
                <w:szCs w:val="18"/>
                <w:lang w:val="ru-RU" w:eastAsia="ru-RU"/>
              </w:rPr>
              <w:t xml:space="preserve"> </w:t>
            </w:r>
            <w:proofErr w:type="spellStart"/>
            <w:r>
              <w:rPr>
                <w:b/>
                <w:bCs/>
                <w:color w:val="000000"/>
                <w:sz w:val="18"/>
                <w:szCs w:val="18"/>
                <w:lang w:val="ru-RU" w:eastAsia="ru-RU"/>
              </w:rPr>
              <w:t>value</w:t>
            </w:r>
            <w:proofErr w:type="spellEnd"/>
            <w:r w:rsidRPr="00E177BA">
              <w:rPr>
                <w:b/>
                <w:bCs/>
                <w:color w:val="000000"/>
                <w:sz w:val="18"/>
                <w:szCs w:val="18"/>
                <w:lang w:val="ru-RU" w:eastAsia="ru-RU"/>
              </w:rPr>
              <w:t xml:space="preserve">, </w:t>
            </w:r>
            <w:proofErr w:type="spellStart"/>
            <w:r>
              <w:rPr>
                <w:b/>
                <w:bCs/>
                <w:color w:val="000000"/>
                <w:sz w:val="18"/>
                <w:szCs w:val="18"/>
                <w:lang w:val="ru-RU" w:eastAsia="ru-RU"/>
              </w:rPr>
              <w:t>thous</w:t>
            </w:r>
            <w:proofErr w:type="spellEnd"/>
            <w:r>
              <w:rPr>
                <w:b/>
                <w:bCs/>
                <w:color w:val="000000"/>
                <w:sz w:val="18"/>
                <w:szCs w:val="18"/>
                <w:lang w:val="ru-RU" w:eastAsia="ru-RU"/>
              </w:rPr>
              <w:t>. RUB</w:t>
            </w:r>
            <w:r w:rsidRPr="00E177BA">
              <w:rPr>
                <w:b/>
                <w:bCs/>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vAlign w:val="bottom"/>
            <w:hideMark/>
          </w:tcPr>
          <w:p w:rsidR="005A246D" w:rsidRPr="00907317" w:rsidRDefault="005A246D" w:rsidP="007C4502">
            <w:pPr>
              <w:jc w:val="center"/>
              <w:rPr>
                <w:b/>
                <w:bCs/>
                <w:color w:val="000000"/>
                <w:sz w:val="18"/>
                <w:szCs w:val="18"/>
                <w:lang w:val="en-US" w:eastAsia="ru-RU"/>
              </w:rPr>
            </w:pPr>
            <w:r w:rsidRPr="00907317">
              <w:rPr>
                <w:b/>
                <w:bCs/>
                <w:color w:val="000000"/>
                <w:sz w:val="18"/>
                <w:szCs w:val="18"/>
                <w:lang w:val="en-US" w:eastAsia="ru-RU"/>
              </w:rPr>
              <w:t xml:space="preserve">Total accounts receivable (+) / payable (-) as at 31.12.2013, </w:t>
            </w:r>
            <w:proofErr w:type="spellStart"/>
            <w:r w:rsidRPr="00907317">
              <w:rPr>
                <w:b/>
                <w:bCs/>
                <w:color w:val="000000"/>
                <w:sz w:val="18"/>
                <w:szCs w:val="18"/>
                <w:lang w:val="en-US" w:eastAsia="ru-RU"/>
              </w:rPr>
              <w:t>thous</w:t>
            </w:r>
            <w:proofErr w:type="spellEnd"/>
            <w:r w:rsidRPr="00907317">
              <w:rPr>
                <w:b/>
                <w:bCs/>
                <w:color w:val="000000"/>
                <w:sz w:val="18"/>
                <w:szCs w:val="18"/>
                <w:lang w:val="en-US" w:eastAsia="ru-RU"/>
              </w:rPr>
              <w:t>. RUB.</w:t>
            </w:r>
          </w:p>
        </w:tc>
      </w:tr>
      <w:tr w:rsidR="0076432A"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rsidP="008F0AA3">
            <w:pPr>
              <w:spacing w:line="276" w:lineRule="auto"/>
              <w:jc w:val="center"/>
              <w:rPr>
                <w:color w:val="000000"/>
                <w:sz w:val="18"/>
                <w:szCs w:val="18"/>
                <w:lang w:val="ru-RU" w:eastAsia="ru-RU"/>
              </w:rPr>
            </w:pPr>
            <w:r>
              <w:rPr>
                <w:color w:val="000000"/>
                <w:sz w:val="18"/>
                <w:szCs w:val="18"/>
                <w:lang w:val="ru-RU" w:eastAsia="ru-RU"/>
              </w:rPr>
              <w:t>1</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76432A" w:rsidRPr="00E177BA" w:rsidRDefault="0076432A"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Pr>
                <w:rStyle w:val="af9"/>
                <w:color w:val="000000"/>
                <w:sz w:val="18"/>
                <w:szCs w:val="18"/>
                <w:lang w:val="ru-RU" w:eastAsia="ru-RU"/>
              </w:rPr>
              <w:footnoteReference w:id="4"/>
            </w:r>
          </w:p>
        </w:tc>
        <w:tc>
          <w:tcPr>
            <w:tcW w:w="1821" w:type="dxa"/>
            <w:tcBorders>
              <w:top w:val="single" w:sz="4" w:space="0" w:color="auto"/>
              <w:left w:val="single" w:sz="4" w:space="0" w:color="auto"/>
              <w:bottom w:val="single" w:sz="4" w:space="0" w:color="auto"/>
              <w:right w:val="single" w:sz="4" w:space="0" w:color="auto"/>
            </w:tcBorders>
            <w:vAlign w:val="bottom"/>
            <w:hideMark/>
          </w:tcPr>
          <w:p w:rsidR="0076432A" w:rsidRPr="00270AAB" w:rsidRDefault="0076432A" w:rsidP="007C4502">
            <w:pPr>
              <w:jc w:val="center"/>
              <w:rPr>
                <w:color w:val="000000"/>
                <w:sz w:val="18"/>
                <w:szCs w:val="18"/>
                <w:lang w:val="en-US" w:eastAsia="ru-RU"/>
              </w:rPr>
            </w:pPr>
            <w:r w:rsidRPr="00270AAB">
              <w:rPr>
                <w:color w:val="000000"/>
                <w:sz w:val="18"/>
                <w:szCs w:val="18"/>
                <w:lang w:val="en-US" w:eastAsia="ru-RU"/>
              </w:rPr>
              <w:t>service of providing the loan of monetary funds</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161 600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161 600</w:t>
            </w:r>
          </w:p>
        </w:tc>
      </w:tr>
      <w:tr w:rsidR="0076432A"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rsidP="008F0AA3">
            <w:pPr>
              <w:spacing w:line="276" w:lineRule="auto"/>
              <w:jc w:val="center"/>
              <w:rPr>
                <w:color w:val="000000"/>
                <w:sz w:val="18"/>
                <w:szCs w:val="18"/>
                <w:lang w:val="ru-RU" w:eastAsia="ru-RU"/>
              </w:rPr>
            </w:pPr>
            <w:r>
              <w:rPr>
                <w:color w:val="000000"/>
                <w:sz w:val="18"/>
                <w:szCs w:val="18"/>
                <w:lang w:val="ru-RU" w:eastAsia="ru-RU"/>
              </w:rPr>
              <w:t>2</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76432A" w:rsidRPr="00E177BA" w:rsidRDefault="0076432A"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Pr="004E5F81">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noWrap/>
            <w:vAlign w:val="bottom"/>
            <w:hideMark/>
          </w:tcPr>
          <w:p w:rsidR="0076432A" w:rsidRPr="00270AAB" w:rsidRDefault="0076432A" w:rsidP="007C4502">
            <w:pPr>
              <w:jc w:val="center"/>
              <w:rPr>
                <w:color w:val="000000"/>
                <w:sz w:val="18"/>
                <w:szCs w:val="18"/>
                <w:lang w:val="en-US" w:eastAsia="ru-RU"/>
              </w:rPr>
            </w:pPr>
            <w:r w:rsidRPr="00270AAB">
              <w:rPr>
                <w:color w:val="000000"/>
                <w:sz w:val="18"/>
                <w:szCs w:val="18"/>
                <w:lang w:val="en-US" w:eastAsia="ru-RU"/>
              </w:rPr>
              <w:t>% on the loan of monetary funds</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1 129</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13 332</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14 461</w:t>
            </w:r>
          </w:p>
        </w:tc>
      </w:tr>
      <w:tr w:rsidR="0076432A"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rsidP="008F0AA3">
            <w:pPr>
              <w:spacing w:line="276" w:lineRule="auto"/>
              <w:jc w:val="center"/>
              <w:rPr>
                <w:color w:val="000000"/>
                <w:sz w:val="18"/>
                <w:szCs w:val="18"/>
                <w:lang w:val="ru-RU" w:eastAsia="ru-RU"/>
              </w:rPr>
            </w:pPr>
            <w:r>
              <w:rPr>
                <w:color w:val="000000"/>
                <w:sz w:val="18"/>
                <w:szCs w:val="18"/>
                <w:lang w:val="ru-RU" w:eastAsia="ru-RU"/>
              </w:rPr>
              <w:t>3</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76432A" w:rsidRPr="00E177BA" w:rsidRDefault="0076432A"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6432A" w:rsidRPr="00E177BA" w:rsidRDefault="0076432A" w:rsidP="007C4502">
            <w:pPr>
              <w:jc w:val="center"/>
              <w:rPr>
                <w:color w:val="000000"/>
                <w:sz w:val="18"/>
                <w:szCs w:val="18"/>
                <w:lang w:val="ru-RU" w:eastAsia="ru-RU"/>
              </w:rPr>
            </w:pPr>
            <w:proofErr w:type="spellStart"/>
            <w:r>
              <w:rPr>
                <w:color w:val="000000"/>
                <w:sz w:val="18"/>
                <w:szCs w:val="18"/>
                <w:lang w:val="ru-RU" w:eastAsia="ru-RU"/>
              </w:rPr>
              <w:t>treasury</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324</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288</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36</w:t>
            </w:r>
          </w:p>
        </w:tc>
      </w:tr>
      <w:tr w:rsidR="0076432A"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rsidP="008F0AA3">
            <w:pPr>
              <w:spacing w:line="276" w:lineRule="auto"/>
              <w:jc w:val="center"/>
              <w:rPr>
                <w:color w:val="000000"/>
                <w:sz w:val="18"/>
                <w:szCs w:val="18"/>
                <w:lang w:val="ru-RU" w:eastAsia="ru-RU"/>
              </w:rPr>
            </w:pPr>
            <w:r>
              <w:rPr>
                <w:color w:val="000000"/>
                <w:sz w:val="18"/>
                <w:szCs w:val="18"/>
                <w:lang w:val="ru-RU" w:eastAsia="ru-RU"/>
              </w:rPr>
              <w:t>4</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76432A" w:rsidRPr="00E177BA" w:rsidRDefault="0076432A"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noWrap/>
            <w:vAlign w:val="bottom"/>
            <w:hideMark/>
          </w:tcPr>
          <w:p w:rsidR="0076432A" w:rsidRPr="00E177BA" w:rsidRDefault="0076432A" w:rsidP="007C4502">
            <w:pPr>
              <w:jc w:val="center"/>
              <w:rPr>
                <w:color w:val="000000"/>
                <w:sz w:val="18"/>
                <w:szCs w:val="18"/>
                <w:lang w:val="ru-RU" w:eastAsia="ru-RU"/>
              </w:rPr>
            </w:pPr>
            <w:proofErr w:type="spellStart"/>
            <w:r>
              <w:rPr>
                <w:color w:val="000000"/>
                <w:sz w:val="18"/>
                <w:szCs w:val="18"/>
                <w:lang w:val="ru-RU" w:eastAsia="ru-RU"/>
              </w:rPr>
              <w:t>other</w:t>
            </w:r>
            <w:proofErr w:type="spellEnd"/>
            <w:r w:rsidRPr="00E177BA">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100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100</w:t>
            </w:r>
          </w:p>
        </w:tc>
      </w:tr>
      <w:tr w:rsidR="0076432A"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rsidP="008F0AA3">
            <w:pPr>
              <w:spacing w:line="276" w:lineRule="auto"/>
              <w:jc w:val="center"/>
              <w:rPr>
                <w:color w:val="000000"/>
                <w:sz w:val="18"/>
                <w:szCs w:val="18"/>
                <w:lang w:val="ru-RU" w:eastAsia="ru-RU"/>
              </w:rPr>
            </w:pPr>
            <w:r>
              <w:rPr>
                <w:color w:val="000000"/>
                <w:sz w:val="18"/>
                <w:szCs w:val="18"/>
                <w:lang w:val="ru-RU" w:eastAsia="ru-RU"/>
              </w:rPr>
              <w:t>5</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76432A" w:rsidRPr="00E177BA" w:rsidRDefault="0076432A"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6432A" w:rsidRPr="00E177BA" w:rsidRDefault="0076432A" w:rsidP="007C4502">
            <w:pPr>
              <w:jc w:val="center"/>
              <w:rPr>
                <w:color w:val="000000"/>
                <w:sz w:val="18"/>
                <w:szCs w:val="18"/>
                <w:lang w:val="ru-RU" w:eastAsia="ru-RU"/>
              </w:rPr>
            </w:pPr>
            <w:proofErr w:type="spellStart"/>
            <w:r>
              <w:rPr>
                <w:color w:val="000000"/>
                <w:sz w:val="18"/>
                <w:szCs w:val="18"/>
                <w:lang w:val="ru-RU" w:eastAsia="ru-RU"/>
              </w:rPr>
              <w:t>real</w:t>
            </w:r>
            <w:proofErr w:type="spellEnd"/>
            <w:r>
              <w:rPr>
                <w:color w:val="000000"/>
                <w:sz w:val="18"/>
                <w:szCs w:val="18"/>
                <w:lang w:val="ru-RU" w:eastAsia="ru-RU"/>
              </w:rPr>
              <w:t xml:space="preserve"> </w:t>
            </w:r>
            <w:proofErr w:type="spellStart"/>
            <w:r>
              <w:rPr>
                <w:color w:val="000000"/>
                <w:sz w:val="18"/>
                <w:szCs w:val="18"/>
                <w:lang w:val="ru-RU" w:eastAsia="ru-RU"/>
              </w:rPr>
              <w:t>estate</w:t>
            </w:r>
            <w:proofErr w:type="spellEnd"/>
            <w:r>
              <w:rPr>
                <w:color w:val="000000"/>
                <w:sz w:val="18"/>
                <w:szCs w:val="18"/>
                <w:lang w:val="ru-RU" w:eastAsia="ru-RU"/>
              </w:rPr>
              <w:t xml:space="preserve"> </w:t>
            </w:r>
            <w:proofErr w:type="spellStart"/>
            <w:r>
              <w:rPr>
                <w:color w:val="000000"/>
                <w:sz w:val="18"/>
                <w:szCs w:val="18"/>
                <w:lang w:val="ru-RU" w:eastAsia="ru-RU"/>
              </w:rPr>
              <w:t>lease</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108</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108</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r>
      <w:tr w:rsidR="0076432A"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rsidP="008F0AA3">
            <w:pPr>
              <w:spacing w:line="276" w:lineRule="auto"/>
              <w:jc w:val="center"/>
              <w:rPr>
                <w:color w:val="000000"/>
                <w:sz w:val="18"/>
                <w:szCs w:val="18"/>
                <w:lang w:val="ru-RU" w:eastAsia="ru-RU"/>
              </w:rPr>
            </w:pPr>
            <w:r>
              <w:rPr>
                <w:color w:val="000000"/>
                <w:sz w:val="18"/>
                <w:szCs w:val="18"/>
                <w:lang w:val="ru-RU" w:eastAsia="ru-RU"/>
              </w:rPr>
              <w:t>6</w:t>
            </w:r>
          </w:p>
        </w:tc>
        <w:tc>
          <w:tcPr>
            <w:tcW w:w="1879" w:type="dxa"/>
            <w:tcBorders>
              <w:top w:val="single" w:sz="4" w:space="0" w:color="auto"/>
              <w:left w:val="single" w:sz="4" w:space="0" w:color="auto"/>
              <w:bottom w:val="single" w:sz="4" w:space="0" w:color="auto"/>
              <w:right w:val="single" w:sz="4" w:space="0" w:color="auto"/>
            </w:tcBorders>
            <w:vAlign w:val="bottom"/>
            <w:hideMark/>
          </w:tcPr>
          <w:p w:rsidR="0076432A" w:rsidRPr="00E177BA" w:rsidRDefault="0076432A"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Sanatorium-preventorium</w:t>
            </w:r>
            <w:proofErr w:type="spellEnd"/>
            <w:r>
              <w:rPr>
                <w:color w:val="000000"/>
                <w:sz w:val="18"/>
                <w:szCs w:val="18"/>
                <w:lang w:val="ru-RU" w:eastAsia="ru-RU"/>
              </w:rPr>
              <w:t xml:space="preserve"> «</w:t>
            </w:r>
            <w:proofErr w:type="spellStart"/>
            <w:r>
              <w:rPr>
                <w:color w:val="000000"/>
                <w:sz w:val="18"/>
                <w:szCs w:val="18"/>
                <w:lang w:val="ru-RU" w:eastAsia="ru-RU"/>
              </w:rPr>
              <w:t>Energetik</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6432A" w:rsidRPr="00E177BA" w:rsidRDefault="0076432A" w:rsidP="007C4502">
            <w:pPr>
              <w:jc w:val="center"/>
              <w:rPr>
                <w:color w:val="000000"/>
                <w:sz w:val="18"/>
                <w:szCs w:val="18"/>
                <w:lang w:val="ru-RU" w:eastAsia="ru-RU"/>
              </w:rPr>
            </w:pPr>
            <w:proofErr w:type="spellStart"/>
            <w:r>
              <w:rPr>
                <w:color w:val="000000"/>
                <w:sz w:val="18"/>
                <w:szCs w:val="18"/>
                <w:lang w:val="ru-RU" w:eastAsia="ru-RU"/>
              </w:rPr>
              <w:t>other</w:t>
            </w:r>
            <w:proofErr w:type="spellEnd"/>
            <w:r w:rsidRPr="00E177BA">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30 710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6432A" w:rsidRDefault="0076432A">
            <w:pPr>
              <w:spacing w:line="276" w:lineRule="auto"/>
              <w:jc w:val="right"/>
              <w:rPr>
                <w:color w:val="000000"/>
                <w:sz w:val="18"/>
                <w:szCs w:val="18"/>
                <w:lang w:val="ru-RU" w:eastAsia="ru-RU"/>
              </w:rPr>
            </w:pPr>
            <w:r>
              <w:rPr>
                <w:color w:val="000000"/>
                <w:sz w:val="18"/>
                <w:szCs w:val="18"/>
                <w:lang w:val="ru-RU" w:eastAsia="ru-RU"/>
              </w:rPr>
              <w:t>30 710</w:t>
            </w:r>
          </w:p>
        </w:tc>
      </w:tr>
      <w:tr w:rsidR="007538CE"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rsidP="008F0AA3">
            <w:pPr>
              <w:spacing w:line="276" w:lineRule="auto"/>
              <w:jc w:val="center"/>
              <w:rPr>
                <w:color w:val="000000"/>
                <w:sz w:val="18"/>
                <w:szCs w:val="18"/>
                <w:lang w:val="ru-RU" w:eastAsia="ru-RU"/>
              </w:rPr>
            </w:pPr>
            <w:r>
              <w:rPr>
                <w:color w:val="000000"/>
                <w:sz w:val="18"/>
                <w:szCs w:val="18"/>
                <w:lang w:val="ru-RU" w:eastAsia="ru-RU"/>
              </w:rPr>
              <w:t>7</w:t>
            </w:r>
          </w:p>
        </w:tc>
        <w:tc>
          <w:tcPr>
            <w:tcW w:w="1879"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538CE" w:rsidRPr="00270AAB" w:rsidRDefault="007538CE" w:rsidP="007C4502">
            <w:pPr>
              <w:jc w:val="center"/>
              <w:rPr>
                <w:color w:val="000000"/>
                <w:sz w:val="18"/>
                <w:szCs w:val="18"/>
                <w:lang w:val="en-US" w:eastAsia="ru-RU"/>
              </w:rPr>
            </w:pPr>
            <w:r w:rsidRPr="00270AAB">
              <w:rPr>
                <w:color w:val="000000"/>
                <w:sz w:val="18"/>
                <w:szCs w:val="18"/>
                <w:lang w:val="en-US" w:eastAsia="ru-RU"/>
              </w:rPr>
              <w:t>service of providing the loan of monetary funds</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157 000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157 000</w:t>
            </w:r>
          </w:p>
        </w:tc>
      </w:tr>
      <w:tr w:rsidR="007538CE"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rsidP="008F0AA3">
            <w:pPr>
              <w:spacing w:line="276" w:lineRule="auto"/>
              <w:jc w:val="center"/>
              <w:rPr>
                <w:color w:val="000000"/>
                <w:sz w:val="18"/>
                <w:szCs w:val="18"/>
                <w:lang w:val="ru-RU" w:eastAsia="ru-RU"/>
              </w:rPr>
            </w:pPr>
            <w:r>
              <w:rPr>
                <w:color w:val="000000"/>
                <w:sz w:val="18"/>
                <w:szCs w:val="18"/>
                <w:lang w:val="ru-RU" w:eastAsia="ru-RU"/>
              </w:rPr>
              <w:t>8</w:t>
            </w:r>
          </w:p>
        </w:tc>
        <w:tc>
          <w:tcPr>
            <w:tcW w:w="1879"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noWrap/>
            <w:vAlign w:val="bottom"/>
            <w:hideMark/>
          </w:tcPr>
          <w:p w:rsidR="007538CE" w:rsidRPr="00270AAB" w:rsidRDefault="007538CE" w:rsidP="007C4502">
            <w:pPr>
              <w:jc w:val="center"/>
              <w:rPr>
                <w:color w:val="000000"/>
                <w:sz w:val="18"/>
                <w:szCs w:val="18"/>
                <w:lang w:val="en-US" w:eastAsia="ru-RU"/>
              </w:rPr>
            </w:pPr>
            <w:r w:rsidRPr="00270AAB">
              <w:rPr>
                <w:color w:val="000000"/>
                <w:sz w:val="18"/>
                <w:szCs w:val="18"/>
                <w:lang w:val="en-US" w:eastAsia="ru-RU"/>
              </w:rPr>
              <w:t>% on the loan of monetary funds</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3 552</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14 130</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14 120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3 562</w:t>
            </w:r>
          </w:p>
        </w:tc>
      </w:tr>
      <w:tr w:rsidR="007538CE"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rsidP="008F0AA3">
            <w:pPr>
              <w:spacing w:line="276" w:lineRule="auto"/>
              <w:jc w:val="center"/>
              <w:rPr>
                <w:color w:val="000000"/>
                <w:sz w:val="18"/>
                <w:szCs w:val="18"/>
                <w:lang w:val="ru-RU" w:eastAsia="ru-RU"/>
              </w:rPr>
            </w:pPr>
            <w:r>
              <w:rPr>
                <w:color w:val="000000"/>
                <w:sz w:val="18"/>
                <w:szCs w:val="18"/>
                <w:lang w:val="ru-RU" w:eastAsia="ru-RU"/>
              </w:rPr>
              <w:t>9</w:t>
            </w:r>
          </w:p>
        </w:tc>
        <w:tc>
          <w:tcPr>
            <w:tcW w:w="1879"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proofErr w:type="spellStart"/>
            <w:r>
              <w:rPr>
                <w:color w:val="000000"/>
                <w:sz w:val="18"/>
                <w:szCs w:val="18"/>
                <w:lang w:val="ru-RU" w:eastAsia="ru-RU"/>
              </w:rPr>
              <w:t>other</w:t>
            </w:r>
            <w:proofErr w:type="spellEnd"/>
            <w:r w:rsidRPr="00E177BA">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2 204 230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2 204 230</w:t>
            </w:r>
          </w:p>
        </w:tc>
      </w:tr>
      <w:tr w:rsidR="007538CE"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rsidP="008F0AA3">
            <w:pPr>
              <w:spacing w:line="276" w:lineRule="auto"/>
              <w:jc w:val="center"/>
              <w:rPr>
                <w:color w:val="000000"/>
                <w:sz w:val="18"/>
                <w:szCs w:val="18"/>
                <w:lang w:val="ru-RU" w:eastAsia="ru-RU"/>
              </w:rPr>
            </w:pPr>
            <w:r>
              <w:rPr>
                <w:color w:val="000000"/>
                <w:sz w:val="18"/>
                <w:szCs w:val="18"/>
                <w:lang w:val="ru-RU" w:eastAsia="ru-RU"/>
              </w:rPr>
              <w:t>10</w:t>
            </w:r>
          </w:p>
        </w:tc>
        <w:tc>
          <w:tcPr>
            <w:tcW w:w="1879"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proofErr w:type="spellStart"/>
            <w:r>
              <w:rPr>
                <w:color w:val="000000"/>
                <w:sz w:val="18"/>
                <w:szCs w:val="18"/>
                <w:lang w:val="ru-RU" w:eastAsia="ru-RU"/>
              </w:rPr>
              <w:t>treasury</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600</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600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w:t>
            </w:r>
          </w:p>
        </w:tc>
      </w:tr>
      <w:tr w:rsidR="007538CE" w:rsidTr="005C6467">
        <w:trPr>
          <w:trHeight w:val="70"/>
        </w:trPr>
        <w:tc>
          <w:tcPr>
            <w:tcW w:w="545"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rsidP="00F35233">
            <w:pPr>
              <w:spacing w:line="276" w:lineRule="auto"/>
              <w:jc w:val="center"/>
              <w:rPr>
                <w:color w:val="000000"/>
                <w:sz w:val="18"/>
                <w:szCs w:val="18"/>
                <w:lang w:val="ru-RU" w:eastAsia="ru-RU"/>
              </w:rPr>
            </w:pPr>
            <w:r>
              <w:rPr>
                <w:color w:val="000000"/>
                <w:sz w:val="18"/>
                <w:szCs w:val="18"/>
                <w:lang w:val="ru-RU" w:eastAsia="ru-RU"/>
              </w:rPr>
              <w:t>11</w:t>
            </w:r>
          </w:p>
        </w:tc>
        <w:tc>
          <w:tcPr>
            <w:tcW w:w="1879"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proofErr w:type="spellStart"/>
            <w:r>
              <w:rPr>
                <w:color w:val="000000"/>
                <w:sz w:val="18"/>
                <w:szCs w:val="18"/>
                <w:lang w:val="ru-RU" w:eastAsia="ru-RU"/>
              </w:rPr>
              <w:t>grid</w:t>
            </w:r>
            <w:proofErr w:type="spellEnd"/>
            <w:r>
              <w:rPr>
                <w:color w:val="000000"/>
                <w:sz w:val="18"/>
                <w:szCs w:val="18"/>
                <w:lang w:val="ru-RU" w:eastAsia="ru-RU"/>
              </w:rPr>
              <w:t xml:space="preserve"> </w:t>
            </w:r>
            <w:proofErr w:type="spellStart"/>
            <w:r>
              <w:rPr>
                <w:color w:val="000000"/>
                <w:sz w:val="18"/>
                <w:szCs w:val="18"/>
                <w:lang w:val="ru-RU" w:eastAsia="ru-RU"/>
              </w:rPr>
              <w:t>connection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(917)</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12 284</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4 211</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7 156</w:t>
            </w:r>
          </w:p>
        </w:tc>
      </w:tr>
      <w:tr w:rsidR="007538CE"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rsidP="00F35233">
            <w:pPr>
              <w:spacing w:line="276" w:lineRule="auto"/>
              <w:jc w:val="center"/>
              <w:rPr>
                <w:color w:val="000000"/>
                <w:sz w:val="18"/>
                <w:szCs w:val="18"/>
                <w:lang w:val="ru-RU" w:eastAsia="ru-RU"/>
              </w:rPr>
            </w:pPr>
            <w:r>
              <w:rPr>
                <w:color w:val="000000"/>
                <w:sz w:val="18"/>
                <w:szCs w:val="18"/>
                <w:lang w:val="ru-RU" w:eastAsia="ru-RU"/>
              </w:rPr>
              <w:t>12</w:t>
            </w:r>
          </w:p>
        </w:tc>
        <w:tc>
          <w:tcPr>
            <w:tcW w:w="1879"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C4502">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YarEGC</w:t>
            </w:r>
            <w:proofErr w:type="spellEnd"/>
            <w:r>
              <w:rPr>
                <w:color w:val="000000"/>
                <w:sz w:val="18"/>
                <w:szCs w:val="18"/>
                <w:lang w:val="ru-RU" w:eastAsia="ru-RU"/>
              </w:rPr>
              <w:t>»</w:t>
            </w:r>
            <w:r w:rsidRPr="00217AA5">
              <w:rPr>
                <w:color w:val="000000"/>
                <w:sz w:val="18"/>
                <w:szCs w:val="18"/>
                <w:vertAlign w:val="superscript"/>
                <w:lang w:val="ru-RU" w:eastAsia="ru-RU"/>
              </w:rPr>
              <w:t>1</w:t>
            </w:r>
          </w:p>
        </w:tc>
        <w:tc>
          <w:tcPr>
            <w:tcW w:w="1821" w:type="dxa"/>
            <w:tcBorders>
              <w:top w:val="single" w:sz="4" w:space="0" w:color="auto"/>
              <w:left w:val="single" w:sz="4" w:space="0" w:color="auto"/>
              <w:bottom w:val="single" w:sz="4" w:space="0" w:color="auto"/>
              <w:right w:val="single" w:sz="4" w:space="0" w:color="auto"/>
            </w:tcBorders>
            <w:vAlign w:val="bottom"/>
            <w:hideMark/>
          </w:tcPr>
          <w:p w:rsidR="007538CE" w:rsidRPr="00E177BA" w:rsidRDefault="007538CE" w:rsidP="007538CE">
            <w:pPr>
              <w:jc w:val="center"/>
              <w:rPr>
                <w:color w:val="000000"/>
                <w:sz w:val="18"/>
                <w:szCs w:val="18"/>
                <w:lang w:val="ru-RU" w:eastAsia="ru-RU"/>
              </w:rPr>
            </w:pPr>
            <w:proofErr w:type="spellStart"/>
            <w:r>
              <w:rPr>
                <w:color w:val="000000"/>
                <w:sz w:val="18"/>
                <w:szCs w:val="18"/>
                <w:lang w:val="ru-RU" w:eastAsia="ru-RU"/>
              </w:rPr>
              <w:t>maintenance</w:t>
            </w:r>
            <w:proofErr w:type="spellEnd"/>
            <w:r>
              <w:rPr>
                <w:color w:val="000000"/>
                <w:sz w:val="18"/>
                <w:szCs w:val="18"/>
                <w:lang w:val="ru-RU" w:eastAsia="ru-RU"/>
              </w:rPr>
              <w:t xml:space="preserve"> </w:t>
            </w:r>
            <w:proofErr w:type="spellStart"/>
            <w:r>
              <w:rPr>
                <w:color w:val="000000"/>
                <w:sz w:val="18"/>
                <w:szCs w:val="18"/>
                <w:lang w:val="ru-RU" w:eastAsia="ru-RU"/>
              </w:rPr>
              <w:t>of</w:t>
            </w:r>
            <w:proofErr w:type="spellEnd"/>
            <w:r>
              <w:rPr>
                <w:color w:val="000000"/>
                <w:sz w:val="18"/>
                <w:szCs w:val="18"/>
                <w:lang w:val="ru-RU" w:eastAsia="ru-RU"/>
              </w:rPr>
              <w:t xml:space="preserve"> </w:t>
            </w:r>
            <w:proofErr w:type="spellStart"/>
            <w:r>
              <w:rPr>
                <w:color w:val="000000"/>
                <w:sz w:val="18"/>
                <w:szCs w:val="18"/>
                <w:lang w:val="ru-RU" w:eastAsia="ru-RU"/>
              </w:rPr>
              <w:t>equipment</w:t>
            </w:r>
            <w:proofErr w:type="spellEnd"/>
            <w:r>
              <w:rPr>
                <w:color w:val="000000"/>
                <w:sz w:val="18"/>
                <w:szCs w:val="18"/>
                <w:lang w:val="ru-RU" w:eastAsia="ru-RU"/>
              </w:rPr>
              <w:t xml:space="preserve"> </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6</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82</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79</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7538CE" w:rsidRDefault="007538CE">
            <w:pPr>
              <w:spacing w:line="276" w:lineRule="auto"/>
              <w:jc w:val="right"/>
              <w:rPr>
                <w:color w:val="000000"/>
                <w:sz w:val="18"/>
                <w:szCs w:val="18"/>
                <w:lang w:val="ru-RU" w:eastAsia="ru-RU"/>
              </w:rPr>
            </w:pPr>
            <w:r>
              <w:rPr>
                <w:color w:val="000000"/>
                <w:sz w:val="18"/>
                <w:szCs w:val="18"/>
                <w:lang w:val="ru-RU" w:eastAsia="ru-RU"/>
              </w:rPr>
              <w:t>8,07</w:t>
            </w:r>
          </w:p>
        </w:tc>
      </w:tr>
      <w:tr w:rsidR="00082411"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F35233">
            <w:pPr>
              <w:spacing w:line="276" w:lineRule="auto"/>
              <w:jc w:val="center"/>
              <w:rPr>
                <w:color w:val="000000"/>
                <w:sz w:val="18"/>
                <w:szCs w:val="18"/>
                <w:lang w:val="ru-RU" w:eastAsia="ru-RU"/>
              </w:rPr>
            </w:pPr>
            <w:r>
              <w:rPr>
                <w:color w:val="000000"/>
                <w:sz w:val="18"/>
                <w:szCs w:val="18"/>
                <w:lang w:val="ru-RU" w:eastAsia="ru-RU"/>
              </w:rPr>
              <w:t>13</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5C6467">
            <w:pPr>
              <w:spacing w:line="276" w:lineRule="auto"/>
              <w:jc w:val="center"/>
              <w:rPr>
                <w:color w:val="000000"/>
                <w:sz w:val="18"/>
                <w:szCs w:val="18"/>
                <w:lang w:val="ru-RU" w:eastAsia="ru-RU"/>
              </w:rPr>
            </w:pPr>
            <w:r>
              <w:rPr>
                <w:color w:val="000000"/>
                <w:sz w:val="18"/>
                <w:szCs w:val="18"/>
                <w:lang w:val="ru-RU" w:eastAsia="ru-RU"/>
              </w:rPr>
              <w:t>FGC UES</w:t>
            </w:r>
            <w:r>
              <w:rPr>
                <w:rStyle w:val="af9"/>
                <w:color w:val="000000"/>
                <w:sz w:val="18"/>
                <w:szCs w:val="18"/>
                <w:lang w:val="ru-RU" w:eastAsia="ru-RU"/>
              </w:rPr>
              <w:t>2</w:t>
            </w:r>
          </w:p>
        </w:tc>
        <w:tc>
          <w:tcPr>
            <w:tcW w:w="1821" w:type="dxa"/>
            <w:tcBorders>
              <w:top w:val="single" w:sz="4" w:space="0" w:color="auto"/>
              <w:left w:val="single" w:sz="4" w:space="0" w:color="auto"/>
              <w:bottom w:val="single" w:sz="4" w:space="0" w:color="auto"/>
              <w:right w:val="single" w:sz="4" w:space="0" w:color="auto"/>
            </w:tcBorders>
            <w:vAlign w:val="bottom"/>
            <w:hideMark/>
          </w:tcPr>
          <w:p w:rsidR="00082411" w:rsidRPr="00E177BA" w:rsidRDefault="00082411" w:rsidP="007C4502">
            <w:pPr>
              <w:jc w:val="center"/>
              <w:rPr>
                <w:color w:val="000000"/>
                <w:sz w:val="18"/>
                <w:szCs w:val="18"/>
                <w:lang w:val="ru-RU" w:eastAsia="ru-RU"/>
              </w:rPr>
            </w:pPr>
            <w:proofErr w:type="spellStart"/>
            <w:r>
              <w:rPr>
                <w:color w:val="000000"/>
                <w:sz w:val="18"/>
                <w:szCs w:val="18"/>
                <w:lang w:val="ru-RU" w:eastAsia="ru-RU"/>
              </w:rPr>
              <w:t>property</w:t>
            </w:r>
            <w:proofErr w:type="spellEnd"/>
            <w:r>
              <w:rPr>
                <w:color w:val="000000"/>
                <w:sz w:val="18"/>
                <w:szCs w:val="18"/>
                <w:lang w:val="ru-RU" w:eastAsia="ru-RU"/>
              </w:rPr>
              <w:t xml:space="preserve"> </w:t>
            </w:r>
            <w:proofErr w:type="spellStart"/>
            <w:r>
              <w:rPr>
                <w:color w:val="000000"/>
                <w:sz w:val="18"/>
                <w:szCs w:val="18"/>
                <w:lang w:val="ru-RU" w:eastAsia="ru-RU"/>
              </w:rPr>
              <w:t>lease</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2 050</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2 050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r>
      <w:tr w:rsidR="00082411"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F35233">
            <w:pPr>
              <w:spacing w:line="276" w:lineRule="auto"/>
              <w:jc w:val="center"/>
              <w:rPr>
                <w:color w:val="000000"/>
                <w:sz w:val="18"/>
                <w:szCs w:val="18"/>
                <w:lang w:val="ru-RU" w:eastAsia="ru-RU"/>
              </w:rPr>
            </w:pPr>
            <w:r>
              <w:rPr>
                <w:color w:val="000000"/>
                <w:sz w:val="18"/>
                <w:szCs w:val="18"/>
                <w:lang w:val="ru-RU" w:eastAsia="ru-RU"/>
              </w:rPr>
              <w:t>14</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2</w:t>
            </w:r>
          </w:p>
        </w:tc>
        <w:tc>
          <w:tcPr>
            <w:tcW w:w="1821" w:type="dxa"/>
            <w:tcBorders>
              <w:top w:val="single" w:sz="4" w:space="0" w:color="auto"/>
              <w:left w:val="single" w:sz="4" w:space="0" w:color="auto"/>
              <w:bottom w:val="single" w:sz="4" w:space="0" w:color="auto"/>
              <w:right w:val="single" w:sz="4" w:space="0" w:color="auto"/>
            </w:tcBorders>
            <w:vAlign w:val="bottom"/>
            <w:hideMark/>
          </w:tcPr>
          <w:p w:rsidR="00082411" w:rsidRPr="00E177BA" w:rsidRDefault="00082411" w:rsidP="007C4502">
            <w:pPr>
              <w:jc w:val="center"/>
              <w:rPr>
                <w:color w:val="000000"/>
                <w:sz w:val="18"/>
                <w:szCs w:val="18"/>
                <w:lang w:val="ru-RU" w:eastAsia="ru-RU"/>
              </w:rPr>
            </w:pPr>
            <w:proofErr w:type="spellStart"/>
            <w:r>
              <w:rPr>
                <w:color w:val="000000"/>
                <w:sz w:val="18"/>
                <w:szCs w:val="18"/>
                <w:lang w:val="ru-RU" w:eastAsia="ru-RU"/>
              </w:rPr>
              <w:t>emergency</w:t>
            </w:r>
            <w:proofErr w:type="spellEnd"/>
            <w:r>
              <w:rPr>
                <w:color w:val="000000"/>
                <w:sz w:val="18"/>
                <w:szCs w:val="18"/>
                <w:lang w:val="ru-RU" w:eastAsia="ru-RU"/>
              </w:rPr>
              <w:t xml:space="preserve"> </w:t>
            </w:r>
            <w:proofErr w:type="spellStart"/>
            <w:r>
              <w:rPr>
                <w:color w:val="000000"/>
                <w:sz w:val="18"/>
                <w:szCs w:val="18"/>
                <w:lang w:val="ru-RU" w:eastAsia="ru-RU"/>
              </w:rPr>
              <w:t>and</w:t>
            </w:r>
            <w:proofErr w:type="spellEnd"/>
            <w:r>
              <w:rPr>
                <w:color w:val="000000"/>
                <w:sz w:val="18"/>
                <w:szCs w:val="18"/>
                <w:lang w:val="ru-RU" w:eastAsia="ru-RU"/>
              </w:rPr>
              <w:t xml:space="preserve"> </w:t>
            </w:r>
            <w:proofErr w:type="spellStart"/>
            <w:r>
              <w:rPr>
                <w:color w:val="000000"/>
                <w:sz w:val="18"/>
                <w:szCs w:val="18"/>
                <w:lang w:val="ru-RU" w:eastAsia="ru-RU"/>
              </w:rPr>
              <w:t>restoration</w:t>
            </w:r>
            <w:proofErr w:type="spellEnd"/>
            <w:r>
              <w:rPr>
                <w:color w:val="000000"/>
                <w:sz w:val="18"/>
                <w:szCs w:val="18"/>
                <w:lang w:val="ru-RU" w:eastAsia="ru-RU"/>
              </w:rPr>
              <w:t xml:space="preserve"> </w:t>
            </w:r>
            <w:proofErr w:type="spellStart"/>
            <w:r>
              <w:rPr>
                <w:color w:val="000000"/>
                <w:sz w:val="18"/>
                <w:szCs w:val="18"/>
                <w:lang w:val="ru-RU" w:eastAsia="ru-RU"/>
              </w:rPr>
              <w:t>activities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15 184</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15 184</w:t>
            </w:r>
          </w:p>
        </w:tc>
      </w:tr>
      <w:tr w:rsidR="00082411"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F35233">
            <w:pPr>
              <w:spacing w:line="276" w:lineRule="auto"/>
              <w:jc w:val="center"/>
              <w:rPr>
                <w:color w:val="000000"/>
                <w:sz w:val="18"/>
                <w:szCs w:val="18"/>
                <w:lang w:val="ru-RU" w:eastAsia="ru-RU"/>
              </w:rPr>
            </w:pPr>
            <w:r>
              <w:rPr>
                <w:color w:val="000000"/>
                <w:sz w:val="18"/>
                <w:szCs w:val="18"/>
                <w:lang w:val="ru-RU" w:eastAsia="ru-RU"/>
              </w:rPr>
              <w:t>15</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2</w:t>
            </w:r>
          </w:p>
        </w:tc>
        <w:tc>
          <w:tcPr>
            <w:tcW w:w="1821" w:type="dxa"/>
            <w:tcBorders>
              <w:top w:val="single" w:sz="4" w:space="0" w:color="auto"/>
              <w:left w:val="single" w:sz="4" w:space="0" w:color="auto"/>
              <w:bottom w:val="single" w:sz="4" w:space="0" w:color="auto"/>
              <w:right w:val="single" w:sz="4" w:space="0" w:color="auto"/>
            </w:tcBorders>
            <w:vAlign w:val="bottom"/>
            <w:hideMark/>
          </w:tcPr>
          <w:p w:rsidR="00082411" w:rsidRPr="00270AAB" w:rsidRDefault="00082411" w:rsidP="007C4502">
            <w:pPr>
              <w:jc w:val="center"/>
              <w:rPr>
                <w:color w:val="000000"/>
                <w:sz w:val="18"/>
                <w:szCs w:val="18"/>
                <w:lang w:val="en-US" w:eastAsia="ru-RU"/>
              </w:rPr>
            </w:pPr>
            <w:r w:rsidRPr="00270AAB">
              <w:rPr>
                <w:color w:val="000000"/>
                <w:sz w:val="18"/>
                <w:szCs w:val="18"/>
                <w:lang w:val="en-US" w:eastAsia="ru-RU"/>
              </w:rPr>
              <w:t>grids removal to another site</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177</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177</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r>
      <w:tr w:rsidR="00082411"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F35233">
            <w:pPr>
              <w:spacing w:line="276" w:lineRule="auto"/>
              <w:jc w:val="center"/>
              <w:rPr>
                <w:color w:val="000000"/>
                <w:sz w:val="18"/>
                <w:szCs w:val="18"/>
                <w:lang w:val="ru-RU" w:eastAsia="ru-RU"/>
              </w:rPr>
            </w:pPr>
            <w:r>
              <w:rPr>
                <w:color w:val="000000"/>
                <w:sz w:val="18"/>
                <w:szCs w:val="18"/>
                <w:lang w:val="ru-RU" w:eastAsia="ru-RU"/>
              </w:rPr>
              <w:t>16</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2</w:t>
            </w:r>
          </w:p>
        </w:tc>
        <w:tc>
          <w:tcPr>
            <w:tcW w:w="1821" w:type="dxa"/>
            <w:tcBorders>
              <w:top w:val="single" w:sz="4" w:space="0" w:color="auto"/>
              <w:left w:val="single" w:sz="4" w:space="0" w:color="auto"/>
              <w:bottom w:val="single" w:sz="4" w:space="0" w:color="auto"/>
              <w:right w:val="single" w:sz="4" w:space="0" w:color="auto"/>
            </w:tcBorders>
            <w:vAlign w:val="bottom"/>
            <w:hideMark/>
          </w:tcPr>
          <w:p w:rsidR="00082411" w:rsidRPr="00E177BA" w:rsidRDefault="00082411" w:rsidP="007C4502">
            <w:pPr>
              <w:jc w:val="center"/>
              <w:rPr>
                <w:color w:val="000000"/>
                <w:sz w:val="18"/>
                <w:szCs w:val="18"/>
                <w:lang w:val="ru-RU" w:eastAsia="ru-RU"/>
              </w:rPr>
            </w:pPr>
            <w:proofErr w:type="spellStart"/>
            <w:r>
              <w:rPr>
                <w:color w:val="000000"/>
                <w:sz w:val="18"/>
                <w:szCs w:val="18"/>
                <w:lang w:val="ru-RU" w:eastAsia="ru-RU"/>
              </w:rPr>
              <w:t>other</w:t>
            </w:r>
            <w:proofErr w:type="spellEnd"/>
            <w:r w:rsidRPr="00E177BA">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4 964</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2 171</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2 793</w:t>
            </w:r>
          </w:p>
        </w:tc>
      </w:tr>
      <w:tr w:rsidR="00082411"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F35233">
            <w:pPr>
              <w:spacing w:line="276" w:lineRule="auto"/>
              <w:jc w:val="center"/>
              <w:rPr>
                <w:color w:val="000000"/>
                <w:sz w:val="18"/>
                <w:szCs w:val="18"/>
                <w:lang w:val="ru-RU" w:eastAsia="ru-RU"/>
              </w:rPr>
            </w:pPr>
            <w:r>
              <w:rPr>
                <w:color w:val="000000"/>
                <w:sz w:val="18"/>
                <w:szCs w:val="18"/>
                <w:lang w:val="ru-RU" w:eastAsia="ru-RU"/>
              </w:rPr>
              <w:t>17</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2</w:t>
            </w:r>
          </w:p>
        </w:tc>
        <w:tc>
          <w:tcPr>
            <w:tcW w:w="1821" w:type="dxa"/>
            <w:tcBorders>
              <w:top w:val="single" w:sz="4" w:space="0" w:color="auto"/>
              <w:left w:val="single" w:sz="4" w:space="0" w:color="auto"/>
              <w:bottom w:val="single" w:sz="4" w:space="0" w:color="auto"/>
              <w:right w:val="single" w:sz="4" w:space="0" w:color="auto"/>
            </w:tcBorders>
            <w:vAlign w:val="bottom"/>
            <w:hideMark/>
          </w:tcPr>
          <w:p w:rsidR="00082411" w:rsidRPr="00270AAB" w:rsidRDefault="00082411" w:rsidP="007C4502">
            <w:pPr>
              <w:jc w:val="center"/>
              <w:rPr>
                <w:color w:val="000000"/>
                <w:sz w:val="18"/>
                <w:szCs w:val="18"/>
                <w:lang w:val="en-US" w:eastAsia="ru-RU"/>
              </w:rPr>
            </w:pPr>
            <w:r w:rsidRPr="00270AAB">
              <w:rPr>
                <w:color w:val="000000"/>
                <w:sz w:val="18"/>
                <w:szCs w:val="18"/>
                <w:lang w:val="en-US" w:eastAsia="ru-RU"/>
              </w:rPr>
              <w:t xml:space="preserve">compensation of residual value of removed facilities </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131 759</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131 759</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r>
      <w:tr w:rsidR="00082411" w:rsidTr="005C6467">
        <w:tc>
          <w:tcPr>
            <w:tcW w:w="545"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F35233">
            <w:pPr>
              <w:spacing w:line="276" w:lineRule="auto"/>
              <w:jc w:val="center"/>
              <w:rPr>
                <w:color w:val="000000"/>
                <w:sz w:val="18"/>
                <w:szCs w:val="18"/>
                <w:lang w:val="ru-RU" w:eastAsia="ru-RU"/>
              </w:rPr>
            </w:pPr>
            <w:r>
              <w:rPr>
                <w:color w:val="000000"/>
                <w:sz w:val="18"/>
                <w:szCs w:val="18"/>
                <w:lang w:val="ru-RU" w:eastAsia="ru-RU"/>
              </w:rPr>
              <w:t>18</w:t>
            </w:r>
          </w:p>
        </w:tc>
        <w:tc>
          <w:tcPr>
            <w:tcW w:w="1879"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rsidP="005C6467">
            <w:pPr>
              <w:spacing w:line="276" w:lineRule="auto"/>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2</w:t>
            </w:r>
          </w:p>
        </w:tc>
        <w:tc>
          <w:tcPr>
            <w:tcW w:w="1821" w:type="dxa"/>
            <w:tcBorders>
              <w:top w:val="single" w:sz="4" w:space="0" w:color="auto"/>
              <w:left w:val="single" w:sz="4" w:space="0" w:color="auto"/>
              <w:bottom w:val="single" w:sz="4" w:space="0" w:color="auto"/>
              <w:right w:val="single" w:sz="4" w:space="0" w:color="auto"/>
            </w:tcBorders>
            <w:vAlign w:val="bottom"/>
            <w:hideMark/>
          </w:tcPr>
          <w:p w:rsidR="00082411" w:rsidRPr="00270AAB" w:rsidRDefault="00082411" w:rsidP="007C4502">
            <w:pPr>
              <w:jc w:val="center"/>
              <w:rPr>
                <w:color w:val="000000"/>
                <w:sz w:val="18"/>
                <w:szCs w:val="18"/>
                <w:lang w:val="en-US" w:eastAsia="ru-RU"/>
              </w:rPr>
            </w:pPr>
            <w:r w:rsidRPr="00270AAB">
              <w:rPr>
                <w:color w:val="000000"/>
                <w:sz w:val="18"/>
                <w:szCs w:val="18"/>
                <w:lang w:val="en-US" w:eastAsia="ru-RU"/>
              </w:rPr>
              <w:t>other settlements (compensation for breach of property rights)</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(167 010)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082411" w:rsidRDefault="00082411">
            <w:pPr>
              <w:spacing w:line="276" w:lineRule="auto"/>
              <w:jc w:val="right"/>
              <w:rPr>
                <w:color w:val="000000"/>
                <w:sz w:val="18"/>
                <w:szCs w:val="18"/>
                <w:lang w:val="ru-RU" w:eastAsia="ru-RU"/>
              </w:rPr>
            </w:pPr>
            <w:r>
              <w:rPr>
                <w:color w:val="000000"/>
                <w:sz w:val="18"/>
                <w:szCs w:val="18"/>
                <w:lang w:val="ru-RU" w:eastAsia="ru-RU"/>
              </w:rPr>
              <w:t>(167 010)</w:t>
            </w:r>
          </w:p>
        </w:tc>
      </w:tr>
    </w:tbl>
    <w:p w:rsidR="00435D66" w:rsidRDefault="00435D66" w:rsidP="00435D66">
      <w:pPr>
        <w:pStyle w:val="af7"/>
      </w:pPr>
    </w:p>
    <w:p w:rsidR="00081455" w:rsidRPr="002E48D3" w:rsidRDefault="00081455" w:rsidP="00081455">
      <w:pPr>
        <w:pStyle w:val="af7"/>
        <w:rPr>
          <w:rFonts w:ascii="Times New Roman" w:hAnsi="Times New Roman"/>
          <w:sz w:val="14"/>
          <w:szCs w:val="14"/>
          <w:lang w:val="en-US"/>
        </w:rPr>
      </w:pPr>
      <w:r>
        <w:rPr>
          <w:rStyle w:val="af9"/>
        </w:rPr>
        <w:footnoteRef/>
      </w:r>
      <w:r w:rsidRPr="002E48D3">
        <w:rPr>
          <w:lang w:val="en-US"/>
        </w:rPr>
        <w:t xml:space="preserve"> </w:t>
      </w:r>
      <w:r w:rsidR="002E48D3" w:rsidRPr="00AA048D">
        <w:rPr>
          <w:rFonts w:ascii="Times New Roman" w:eastAsia="Times New Roman" w:hAnsi="Times New Roman"/>
          <w:sz w:val="14"/>
          <w:szCs w:val="14"/>
          <w:lang w:val="en-US" w:eastAsia="ru-RU"/>
        </w:rPr>
        <w:t>A legal entity which is a subsidiary of the same company, which is a subsidiary of the Company itself</w:t>
      </w:r>
    </w:p>
    <w:p w:rsidR="00081455" w:rsidRPr="002E48D3" w:rsidRDefault="00081455" w:rsidP="00081455">
      <w:pPr>
        <w:pStyle w:val="af7"/>
        <w:rPr>
          <w:lang w:val="en-US"/>
        </w:rPr>
      </w:pPr>
      <w:r w:rsidRPr="002E48D3">
        <w:rPr>
          <w:rStyle w:val="af9"/>
          <w:lang w:val="en-US"/>
        </w:rPr>
        <w:t>2</w:t>
      </w:r>
      <w:r w:rsidRPr="002E48D3">
        <w:rPr>
          <w:lang w:val="en-US"/>
        </w:rPr>
        <w:t xml:space="preserve"> </w:t>
      </w:r>
      <w:r w:rsidR="002E48D3" w:rsidRPr="00AA048D">
        <w:rPr>
          <w:rFonts w:ascii="Times New Roman" w:eastAsia="Times New Roman" w:hAnsi="Times New Roman"/>
          <w:sz w:val="14"/>
          <w:szCs w:val="14"/>
          <w:lang w:val="en-US" w:eastAsia="ru-RU"/>
        </w:rPr>
        <w:t>A legal entity which is a subsidiary of the Company</w:t>
      </w:r>
    </w:p>
    <w:p w:rsidR="00997762" w:rsidRPr="00D22586" w:rsidRDefault="00E617C0" w:rsidP="009719DB">
      <w:pPr>
        <w:pStyle w:val="ab"/>
        <w:tabs>
          <w:tab w:val="left" w:pos="720"/>
        </w:tabs>
        <w:spacing w:before="120" w:after="120"/>
        <w:ind w:left="0" w:firstLine="720"/>
        <w:contextualSpacing w:val="0"/>
        <w:jc w:val="both"/>
        <w:rPr>
          <w:sz w:val="24"/>
          <w:szCs w:val="24"/>
          <w:lang w:val="en-US" w:eastAsia="ru-RU"/>
        </w:rPr>
      </w:pPr>
      <w:r w:rsidRPr="00726828">
        <w:rPr>
          <w:sz w:val="24"/>
          <w:szCs w:val="24"/>
          <w:lang w:val="en-US" w:eastAsia="ru-RU"/>
        </w:rPr>
        <w:t>3.11.3</w:t>
      </w:r>
      <w:proofErr w:type="gramStart"/>
      <w:r w:rsidRPr="00726828">
        <w:rPr>
          <w:sz w:val="24"/>
          <w:szCs w:val="24"/>
          <w:lang w:val="en-US" w:eastAsia="ru-RU"/>
        </w:rPr>
        <w:t xml:space="preserve">. </w:t>
      </w:r>
      <w:r w:rsidR="00997762" w:rsidRPr="00F27625">
        <w:t> </w:t>
      </w:r>
      <w:r w:rsidR="00D22586" w:rsidRPr="00AA048D">
        <w:rPr>
          <w:sz w:val="24"/>
          <w:szCs w:val="24"/>
          <w:lang w:val="en-US" w:eastAsia="ru-RU"/>
        </w:rPr>
        <w:t>Settlements</w:t>
      </w:r>
      <w:proofErr w:type="gramEnd"/>
      <w:r w:rsidR="00D22586" w:rsidRPr="00AA048D">
        <w:rPr>
          <w:sz w:val="24"/>
          <w:szCs w:val="24"/>
          <w:lang w:val="en-US" w:eastAsia="ru-RU"/>
        </w:rPr>
        <w:t xml:space="preserve"> on contractual obligations for services provided by affiliates</w:t>
      </w:r>
      <w:r w:rsidR="00D22586">
        <w:rPr>
          <w:sz w:val="24"/>
          <w:szCs w:val="24"/>
          <w:lang w:val="en-US" w:eastAsia="ru-RU"/>
        </w:rPr>
        <w:t xml:space="preserve"> </w:t>
      </w:r>
      <w:r w:rsidR="00D22586" w:rsidRPr="00AA048D">
        <w:rPr>
          <w:sz w:val="24"/>
          <w:szCs w:val="24"/>
          <w:lang w:val="en-US" w:eastAsia="ru-RU"/>
        </w:rPr>
        <w:t>to the Company in</w:t>
      </w:r>
      <w:r w:rsidR="00D22586" w:rsidRPr="00D22586">
        <w:rPr>
          <w:sz w:val="24"/>
          <w:szCs w:val="24"/>
          <w:lang w:val="en-US" w:eastAsia="ru-RU"/>
        </w:rPr>
        <w:t xml:space="preserve"> </w:t>
      </w:r>
      <w:r w:rsidR="00997762" w:rsidRPr="00D22586">
        <w:rPr>
          <w:sz w:val="24"/>
          <w:szCs w:val="24"/>
          <w:lang w:val="en-US" w:eastAsia="ru-RU"/>
        </w:rPr>
        <w:t>2014:</w:t>
      </w:r>
    </w:p>
    <w:tbl>
      <w:tblPr>
        <w:tblStyle w:val="TableGrid1"/>
        <w:tblW w:w="9360" w:type="dxa"/>
        <w:tblInd w:w="108" w:type="dxa"/>
        <w:tblLayout w:type="fixed"/>
        <w:tblLook w:val="04A0"/>
      </w:tblPr>
      <w:tblGrid>
        <w:gridCol w:w="540"/>
        <w:gridCol w:w="1890"/>
        <w:gridCol w:w="1710"/>
        <w:gridCol w:w="1260"/>
        <w:gridCol w:w="1440"/>
        <w:gridCol w:w="1260"/>
        <w:gridCol w:w="1260"/>
      </w:tblGrid>
      <w:tr w:rsidR="00D4033D" w:rsidRPr="00D4033D" w:rsidTr="007C4502">
        <w:trPr>
          <w:trHeight w:val="975"/>
          <w:tblHeader/>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4033D" w:rsidRPr="00781E35" w:rsidRDefault="00D4033D" w:rsidP="007C4502">
            <w:pPr>
              <w:jc w:val="center"/>
              <w:rPr>
                <w:b/>
                <w:bCs/>
                <w:color w:val="000000"/>
                <w:sz w:val="18"/>
                <w:szCs w:val="18"/>
                <w:lang w:val="ru-RU" w:eastAsia="ru-RU"/>
              </w:rPr>
            </w:pPr>
            <w:proofErr w:type="spellStart"/>
            <w:r>
              <w:rPr>
                <w:b/>
                <w:bCs/>
                <w:color w:val="000000"/>
                <w:sz w:val="18"/>
                <w:szCs w:val="18"/>
                <w:lang w:val="ru-RU" w:eastAsia="ru-RU"/>
              </w:rPr>
              <w:t>Item</w:t>
            </w:r>
            <w:proofErr w:type="spellEnd"/>
            <w:r>
              <w:rPr>
                <w:b/>
                <w:bCs/>
                <w:color w:val="000000"/>
                <w:sz w:val="18"/>
                <w:szCs w:val="18"/>
                <w:lang w:val="ru-RU" w:eastAsia="ru-RU"/>
              </w:rPr>
              <w:t xml:space="preserve"> #</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4033D" w:rsidRPr="00580E69" w:rsidRDefault="00D4033D" w:rsidP="007C4502">
            <w:pPr>
              <w:jc w:val="center"/>
              <w:rPr>
                <w:b/>
                <w:bCs/>
                <w:color w:val="000000"/>
                <w:sz w:val="18"/>
                <w:szCs w:val="18"/>
                <w:lang w:val="en-US" w:eastAsia="ru-RU"/>
              </w:rPr>
            </w:pPr>
            <w:r w:rsidRPr="00580E69">
              <w:rPr>
                <w:b/>
                <w:bCs/>
                <w:color w:val="000000"/>
                <w:sz w:val="18"/>
                <w:szCs w:val="18"/>
                <w:lang w:val="en-US" w:eastAsia="ru-RU"/>
              </w:rPr>
              <w:t>Name of the organization - an affiliate</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4033D" w:rsidRPr="00781E35" w:rsidRDefault="00D4033D" w:rsidP="007C4502">
            <w:pPr>
              <w:jc w:val="center"/>
              <w:rPr>
                <w:b/>
                <w:bCs/>
                <w:color w:val="000000"/>
                <w:sz w:val="18"/>
                <w:szCs w:val="18"/>
                <w:lang w:val="ru-RU" w:eastAsia="ru-RU"/>
              </w:rPr>
            </w:pPr>
            <w:proofErr w:type="spellStart"/>
            <w:r>
              <w:rPr>
                <w:b/>
                <w:bCs/>
                <w:color w:val="000000"/>
                <w:sz w:val="18"/>
                <w:szCs w:val="18"/>
                <w:lang w:val="ru-RU" w:eastAsia="ru-RU"/>
              </w:rPr>
              <w:t>Service</w:t>
            </w:r>
            <w:proofErr w:type="spellEnd"/>
            <w:r>
              <w:rPr>
                <w:b/>
                <w:bCs/>
                <w:color w:val="000000"/>
                <w:sz w:val="18"/>
                <w:szCs w:val="18"/>
                <w:lang w:val="ru-RU" w:eastAsia="ru-RU"/>
              </w:rPr>
              <w:t xml:space="preserve"> </w:t>
            </w:r>
            <w:proofErr w:type="spellStart"/>
            <w:r>
              <w:rPr>
                <w:b/>
                <w:bCs/>
                <w:color w:val="000000"/>
                <w:sz w:val="18"/>
                <w:szCs w:val="18"/>
                <w:lang w:val="ru-RU" w:eastAsia="ru-RU"/>
              </w:rPr>
              <w:t>type</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4033D" w:rsidRPr="00907317" w:rsidRDefault="00D4033D" w:rsidP="00D4033D">
            <w:pPr>
              <w:jc w:val="center"/>
              <w:rPr>
                <w:b/>
                <w:bCs/>
                <w:color w:val="000000"/>
                <w:sz w:val="18"/>
                <w:szCs w:val="18"/>
                <w:lang w:val="en-US" w:eastAsia="ru-RU"/>
              </w:rPr>
            </w:pPr>
            <w:r w:rsidRPr="00907317">
              <w:rPr>
                <w:b/>
                <w:bCs/>
                <w:color w:val="000000"/>
                <w:sz w:val="18"/>
                <w:szCs w:val="18"/>
                <w:lang w:val="en-US" w:eastAsia="ru-RU"/>
              </w:rPr>
              <w:t>Total accounts payable (+) / receivable (-) as at 31.12.201</w:t>
            </w:r>
            <w:r>
              <w:rPr>
                <w:b/>
                <w:bCs/>
                <w:color w:val="000000"/>
                <w:sz w:val="18"/>
                <w:szCs w:val="18"/>
                <w:lang w:val="en-US" w:eastAsia="ru-RU"/>
              </w:rPr>
              <w:t>3</w:t>
            </w:r>
            <w:r w:rsidRPr="00907317">
              <w:rPr>
                <w:b/>
                <w:bCs/>
                <w:color w:val="000000"/>
                <w:sz w:val="18"/>
                <w:szCs w:val="18"/>
                <w:lang w:val="en-US" w:eastAsia="ru-RU"/>
              </w:rPr>
              <w:t xml:space="preserve">, </w:t>
            </w:r>
            <w:proofErr w:type="spellStart"/>
            <w:r w:rsidRPr="00907317">
              <w:rPr>
                <w:b/>
                <w:bCs/>
                <w:color w:val="000000"/>
                <w:sz w:val="18"/>
                <w:szCs w:val="18"/>
                <w:lang w:val="en-US" w:eastAsia="ru-RU"/>
              </w:rPr>
              <w:t>thous</w:t>
            </w:r>
            <w:proofErr w:type="spellEnd"/>
            <w:r w:rsidRPr="00907317">
              <w:rPr>
                <w:b/>
                <w:bCs/>
                <w:color w:val="000000"/>
                <w:sz w:val="18"/>
                <w:szCs w:val="18"/>
                <w:lang w:val="en-US" w:eastAsia="ru-RU"/>
              </w:rPr>
              <w:t>. RUB.</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4033D" w:rsidRPr="000F7C56" w:rsidRDefault="00D4033D" w:rsidP="007C4502">
            <w:pPr>
              <w:jc w:val="center"/>
              <w:rPr>
                <w:b/>
                <w:bCs/>
                <w:color w:val="000000"/>
                <w:sz w:val="18"/>
                <w:szCs w:val="18"/>
                <w:lang w:val="en-US" w:eastAsia="ru-RU"/>
              </w:rPr>
            </w:pPr>
            <w:r w:rsidRPr="000F7C56">
              <w:rPr>
                <w:b/>
                <w:bCs/>
                <w:color w:val="000000"/>
                <w:sz w:val="18"/>
                <w:szCs w:val="18"/>
                <w:lang w:val="en-US" w:eastAsia="ru-RU"/>
              </w:rPr>
              <w:t xml:space="preserve">Amount of charges, </w:t>
            </w:r>
            <w:proofErr w:type="spellStart"/>
            <w:r w:rsidRPr="000F7C56">
              <w:rPr>
                <w:b/>
                <w:bCs/>
                <w:color w:val="000000"/>
                <w:sz w:val="18"/>
                <w:szCs w:val="18"/>
                <w:lang w:val="en-US" w:eastAsia="ru-RU"/>
              </w:rPr>
              <w:t>thous</w:t>
            </w:r>
            <w:proofErr w:type="spellEnd"/>
            <w:r w:rsidRPr="000F7C56">
              <w:rPr>
                <w:b/>
                <w:bCs/>
                <w:color w:val="000000"/>
                <w:sz w:val="18"/>
                <w:szCs w:val="18"/>
                <w:lang w:val="en-US" w:eastAsia="ru-RU"/>
              </w:rPr>
              <w:t>. RUB.</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4033D" w:rsidRPr="00781E35" w:rsidRDefault="00D4033D" w:rsidP="007C4502">
            <w:pPr>
              <w:jc w:val="center"/>
              <w:rPr>
                <w:b/>
                <w:bCs/>
                <w:color w:val="000000"/>
                <w:sz w:val="18"/>
                <w:szCs w:val="18"/>
                <w:lang w:val="ru-RU" w:eastAsia="ru-RU"/>
              </w:rPr>
            </w:pPr>
            <w:proofErr w:type="spellStart"/>
            <w:r>
              <w:rPr>
                <w:b/>
                <w:bCs/>
                <w:color w:val="000000"/>
                <w:sz w:val="18"/>
                <w:szCs w:val="18"/>
                <w:lang w:val="ru-RU" w:eastAsia="ru-RU"/>
              </w:rPr>
              <w:t>Maturity</w:t>
            </w:r>
            <w:proofErr w:type="spellEnd"/>
            <w:r>
              <w:rPr>
                <w:b/>
                <w:bCs/>
                <w:color w:val="000000"/>
                <w:sz w:val="18"/>
                <w:szCs w:val="18"/>
                <w:lang w:val="ru-RU" w:eastAsia="ru-RU"/>
              </w:rPr>
              <w:t xml:space="preserve"> </w:t>
            </w:r>
            <w:proofErr w:type="spellStart"/>
            <w:r>
              <w:rPr>
                <w:b/>
                <w:bCs/>
                <w:color w:val="000000"/>
                <w:sz w:val="18"/>
                <w:szCs w:val="18"/>
                <w:lang w:val="ru-RU" w:eastAsia="ru-RU"/>
              </w:rPr>
              <w:t>value</w:t>
            </w:r>
            <w:proofErr w:type="spellEnd"/>
            <w:r w:rsidRPr="00781E35">
              <w:rPr>
                <w:b/>
                <w:bCs/>
                <w:color w:val="000000"/>
                <w:sz w:val="18"/>
                <w:szCs w:val="18"/>
                <w:lang w:val="ru-RU" w:eastAsia="ru-RU"/>
              </w:rPr>
              <w:t xml:space="preserve">, </w:t>
            </w:r>
            <w:proofErr w:type="spellStart"/>
            <w:r>
              <w:rPr>
                <w:b/>
                <w:bCs/>
                <w:color w:val="000000"/>
                <w:sz w:val="18"/>
                <w:szCs w:val="18"/>
                <w:lang w:val="ru-RU" w:eastAsia="ru-RU"/>
              </w:rPr>
              <w:t>thous</w:t>
            </w:r>
            <w:proofErr w:type="spellEnd"/>
            <w:r>
              <w:rPr>
                <w:b/>
                <w:bCs/>
                <w:color w:val="000000"/>
                <w:sz w:val="18"/>
                <w:szCs w:val="18"/>
                <w:lang w:val="ru-RU" w:eastAsia="ru-RU"/>
              </w:rPr>
              <w:t>. RUB</w:t>
            </w:r>
            <w:r w:rsidRPr="00781E35">
              <w:rPr>
                <w:b/>
                <w:bCs/>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4033D" w:rsidRPr="00580E69" w:rsidRDefault="00D4033D" w:rsidP="00D4033D">
            <w:pPr>
              <w:jc w:val="center"/>
              <w:rPr>
                <w:b/>
                <w:bCs/>
                <w:color w:val="000000"/>
                <w:sz w:val="18"/>
                <w:szCs w:val="18"/>
                <w:lang w:val="en-US" w:eastAsia="ru-RU"/>
              </w:rPr>
            </w:pPr>
            <w:r w:rsidRPr="00580E69">
              <w:rPr>
                <w:b/>
                <w:bCs/>
                <w:color w:val="000000"/>
                <w:sz w:val="18"/>
                <w:szCs w:val="18"/>
                <w:lang w:val="en-US" w:eastAsia="ru-RU"/>
              </w:rPr>
              <w:t>Total accounts payable (+) / receivable (-) as at 31.12.201</w:t>
            </w:r>
            <w:r>
              <w:rPr>
                <w:b/>
                <w:bCs/>
                <w:color w:val="000000"/>
                <w:sz w:val="18"/>
                <w:szCs w:val="18"/>
                <w:lang w:val="en-US" w:eastAsia="ru-RU"/>
              </w:rPr>
              <w:t>4</w:t>
            </w:r>
            <w:r w:rsidRPr="00580E69">
              <w:rPr>
                <w:b/>
                <w:bCs/>
                <w:color w:val="000000"/>
                <w:sz w:val="18"/>
                <w:szCs w:val="18"/>
                <w:lang w:val="en-US" w:eastAsia="ru-RU"/>
              </w:rPr>
              <w:t xml:space="preserve">, </w:t>
            </w:r>
            <w:proofErr w:type="spellStart"/>
            <w:r w:rsidRPr="00580E69">
              <w:rPr>
                <w:b/>
                <w:bCs/>
                <w:color w:val="000000"/>
                <w:sz w:val="18"/>
                <w:szCs w:val="18"/>
                <w:lang w:val="en-US" w:eastAsia="ru-RU"/>
              </w:rPr>
              <w:t>thous</w:t>
            </w:r>
            <w:proofErr w:type="spellEnd"/>
            <w:r w:rsidRPr="00580E69">
              <w:rPr>
                <w:b/>
                <w:bCs/>
                <w:color w:val="000000"/>
                <w:sz w:val="18"/>
                <w:szCs w:val="18"/>
                <w:lang w:val="en-US" w:eastAsia="ru-RU"/>
              </w:rPr>
              <w:t>. RUB.</w:t>
            </w:r>
          </w:p>
        </w:tc>
      </w:tr>
      <w:tr w:rsidR="009002D8" w:rsidTr="000564C6">
        <w:trPr>
          <w:trHeight w:val="97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D4033D" w:rsidP="005C6467">
            <w:pPr>
              <w:jc w:val="center"/>
              <w:rPr>
                <w:color w:val="000000"/>
                <w:sz w:val="18"/>
                <w:szCs w:val="18"/>
                <w:lang w:val="ru-RU" w:eastAsia="ru-RU"/>
              </w:rPr>
            </w:pPr>
            <w:bookmarkStart w:id="25" w:name="RANGE!B3"/>
            <w:r>
              <w:rPr>
                <w:color w:val="000000"/>
                <w:sz w:val="18"/>
                <w:szCs w:val="18"/>
                <w:lang w:val="ru-RU" w:eastAsia="ru-RU"/>
              </w:rPr>
              <w:t>JSC «</w:t>
            </w:r>
            <w:proofErr w:type="spellStart"/>
            <w:r>
              <w:rPr>
                <w:color w:val="000000"/>
                <w:sz w:val="18"/>
                <w:szCs w:val="18"/>
                <w:lang w:val="ru-RU" w:eastAsia="ru-RU"/>
              </w:rPr>
              <w:t>Russian</w:t>
            </w:r>
            <w:proofErr w:type="spellEnd"/>
            <w:r>
              <w:rPr>
                <w:color w:val="000000"/>
                <w:sz w:val="18"/>
                <w:szCs w:val="18"/>
                <w:lang w:val="ru-RU" w:eastAsia="ru-RU"/>
              </w:rPr>
              <w:t xml:space="preserve"> </w:t>
            </w:r>
            <w:proofErr w:type="spellStart"/>
            <w:r>
              <w:rPr>
                <w:color w:val="000000"/>
                <w:sz w:val="18"/>
                <w:szCs w:val="18"/>
                <w:lang w:val="ru-RU" w:eastAsia="ru-RU"/>
              </w:rPr>
              <w:t>Grids</w:t>
            </w:r>
            <w:proofErr w:type="spellEnd"/>
            <w:r>
              <w:rPr>
                <w:color w:val="000000"/>
                <w:sz w:val="18"/>
                <w:szCs w:val="18"/>
                <w:lang w:val="ru-RU" w:eastAsia="ru-RU"/>
              </w:rPr>
              <w:t>»</w:t>
            </w:r>
            <w:r w:rsidR="009002D8">
              <w:rPr>
                <w:color w:val="000000"/>
                <w:sz w:val="18"/>
                <w:szCs w:val="18"/>
                <w:vertAlign w:val="superscript"/>
                <w:lang w:val="en-US" w:eastAsia="ru-RU"/>
              </w:rPr>
              <w:t>3</w:t>
            </w:r>
            <w:bookmarkEnd w:id="25"/>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D4033D" w:rsidRDefault="00D4033D" w:rsidP="005C6467">
            <w:pPr>
              <w:jc w:val="center"/>
              <w:rPr>
                <w:color w:val="000000"/>
                <w:sz w:val="18"/>
                <w:szCs w:val="18"/>
                <w:lang w:val="en-US" w:eastAsia="ru-RU"/>
              </w:rPr>
            </w:pPr>
            <w:r w:rsidRPr="00853B5F">
              <w:rPr>
                <w:color w:val="000000"/>
                <w:sz w:val="18"/>
                <w:szCs w:val="18"/>
                <w:lang w:val="en-US" w:eastAsia="ru-RU"/>
              </w:rPr>
              <w:t>service on the operation and development of the distribution electric grid complex</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keepNext/>
              <w:jc w:val="right"/>
              <w:outlineLvl w:val="0"/>
              <w:rPr>
                <w:color w:val="000000"/>
                <w:sz w:val="18"/>
                <w:szCs w:val="18"/>
                <w:lang w:val="ru-RU" w:eastAsia="ru-RU"/>
              </w:rPr>
            </w:pPr>
            <w:r>
              <w:rPr>
                <w:color w:val="000000"/>
                <w:sz w:val="18"/>
                <w:szCs w:val="18"/>
                <w:lang w:val="ru-RU" w:eastAsia="ru-RU"/>
              </w:rPr>
              <w:t>20 201</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404 029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404 029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20 201</w:t>
            </w:r>
          </w:p>
        </w:tc>
      </w:tr>
      <w:tr w:rsidR="009002D8" w:rsidTr="000564C6">
        <w:trPr>
          <w:trHeight w:val="97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lastRenderedPageBreak/>
              <w:t>2</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D4033D" w:rsidP="005C6467">
            <w:pPr>
              <w:jc w:val="center"/>
              <w:rPr>
                <w:color w:val="000000"/>
                <w:sz w:val="18"/>
                <w:szCs w:val="18"/>
                <w:lang w:val="ru-RU" w:eastAsia="ru-RU"/>
              </w:rPr>
            </w:pPr>
            <w:r>
              <w:rPr>
                <w:color w:val="000000"/>
                <w:sz w:val="18"/>
                <w:szCs w:val="18"/>
                <w:lang w:val="ru-RU" w:eastAsia="ru-RU"/>
              </w:rPr>
              <w:t>JSC «</w:t>
            </w:r>
            <w:proofErr w:type="spellStart"/>
            <w:r>
              <w:rPr>
                <w:color w:val="000000"/>
                <w:sz w:val="18"/>
                <w:szCs w:val="18"/>
                <w:lang w:val="ru-RU" w:eastAsia="ru-RU"/>
              </w:rPr>
              <w:t>Russian</w:t>
            </w:r>
            <w:proofErr w:type="spellEnd"/>
            <w:r>
              <w:rPr>
                <w:color w:val="000000"/>
                <w:sz w:val="18"/>
                <w:szCs w:val="18"/>
                <w:lang w:val="ru-RU" w:eastAsia="ru-RU"/>
              </w:rPr>
              <w:t xml:space="preserve"> </w:t>
            </w:r>
            <w:proofErr w:type="spellStart"/>
            <w:r>
              <w:rPr>
                <w:color w:val="000000"/>
                <w:sz w:val="18"/>
                <w:szCs w:val="18"/>
                <w:lang w:val="ru-RU" w:eastAsia="ru-RU"/>
              </w:rPr>
              <w:t>Grids</w:t>
            </w:r>
            <w:proofErr w:type="spellEnd"/>
            <w:r>
              <w:rPr>
                <w:color w:val="000000"/>
                <w:sz w:val="18"/>
                <w:szCs w:val="18"/>
                <w:lang w:val="ru-RU" w:eastAsia="ru-RU"/>
              </w:rPr>
              <w:t>»</w:t>
            </w:r>
            <w:r w:rsidR="009002D8">
              <w:rPr>
                <w:color w:val="000000"/>
                <w:sz w:val="18"/>
                <w:szCs w:val="18"/>
                <w:vertAlign w:val="superscript"/>
                <w:lang w:val="en-US" w:eastAsia="ru-RU"/>
              </w:rPr>
              <w:t>3</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D4033D" w:rsidRDefault="00D4033D" w:rsidP="005C6467">
            <w:pPr>
              <w:jc w:val="center"/>
              <w:rPr>
                <w:color w:val="000000"/>
                <w:sz w:val="18"/>
                <w:szCs w:val="18"/>
                <w:lang w:val="en-US" w:eastAsia="ru-RU"/>
              </w:rPr>
            </w:pPr>
            <w:r w:rsidRPr="00AA048D">
              <w:rPr>
                <w:color w:val="000000"/>
                <w:sz w:val="18"/>
                <w:szCs w:val="18"/>
                <w:lang w:val="en-US" w:eastAsia="ru-RU"/>
              </w:rPr>
              <w:t>technical supervision of electric grid facilities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34 901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34 901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16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3</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FB2784" w:rsidP="005C6467">
            <w:pPr>
              <w:jc w:val="center"/>
              <w:rPr>
                <w:color w:val="000000"/>
                <w:sz w:val="18"/>
                <w:szCs w:val="18"/>
                <w:lang w:val="ru-RU" w:eastAsia="ru-RU"/>
              </w:rPr>
            </w:pPr>
            <w:r w:rsidRPr="00FB2784">
              <w:rPr>
                <w:color w:val="000000"/>
                <w:sz w:val="18"/>
                <w:szCs w:val="18"/>
                <w:lang w:val="ru-RU" w:eastAsia="ru-RU"/>
              </w:rPr>
              <w:t xml:space="preserve">IDGC </w:t>
            </w:r>
            <w:proofErr w:type="spellStart"/>
            <w:r w:rsidRPr="00FB2784">
              <w:rPr>
                <w:color w:val="000000"/>
                <w:sz w:val="18"/>
                <w:szCs w:val="18"/>
                <w:lang w:val="ru-RU" w:eastAsia="ru-RU"/>
              </w:rPr>
              <w:t>of</w:t>
            </w:r>
            <w:proofErr w:type="spellEnd"/>
            <w:r w:rsidRPr="00FB2784">
              <w:rPr>
                <w:color w:val="000000"/>
                <w:sz w:val="18"/>
                <w:szCs w:val="18"/>
                <w:lang w:val="ru-RU" w:eastAsia="ru-RU"/>
              </w:rPr>
              <w:t xml:space="preserve"> Volga</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726828" w:rsidRDefault="00E24A2E" w:rsidP="00E24A2E">
            <w:pPr>
              <w:jc w:val="center"/>
              <w:rPr>
                <w:color w:val="000000"/>
                <w:sz w:val="18"/>
                <w:szCs w:val="18"/>
                <w:lang w:val="en-US" w:eastAsia="ru-RU"/>
              </w:rPr>
            </w:pPr>
            <w:r>
              <w:rPr>
                <w:color w:val="000000"/>
                <w:sz w:val="18"/>
                <w:szCs w:val="18"/>
                <w:lang w:val="en-US" w:eastAsia="ru-RU"/>
              </w:rPr>
              <w:t>service</w:t>
            </w:r>
            <w:r w:rsidRPr="00726828">
              <w:rPr>
                <w:color w:val="000000"/>
                <w:sz w:val="18"/>
                <w:szCs w:val="18"/>
                <w:lang w:val="en-US" w:eastAsia="ru-RU"/>
              </w:rPr>
              <w:t xml:space="preserve"> </w:t>
            </w:r>
            <w:r>
              <w:rPr>
                <w:color w:val="000000"/>
                <w:sz w:val="18"/>
                <w:szCs w:val="18"/>
                <w:lang w:val="en-US" w:eastAsia="ru-RU"/>
              </w:rPr>
              <w:t>to</w:t>
            </w:r>
            <w:r w:rsidRPr="00726828">
              <w:rPr>
                <w:color w:val="000000"/>
                <w:sz w:val="18"/>
                <w:szCs w:val="18"/>
                <w:lang w:val="en-US" w:eastAsia="ru-RU"/>
              </w:rPr>
              <w:t xml:space="preserve"> </w:t>
            </w:r>
            <w:r>
              <w:rPr>
                <w:color w:val="000000"/>
                <w:sz w:val="18"/>
                <w:szCs w:val="18"/>
                <w:lang w:val="en-US" w:eastAsia="ru-RU"/>
              </w:rPr>
              <w:t>hold</w:t>
            </w:r>
            <w:r w:rsidRPr="00726828">
              <w:rPr>
                <w:color w:val="000000"/>
                <w:sz w:val="18"/>
                <w:szCs w:val="18"/>
                <w:lang w:val="en-US" w:eastAsia="ru-RU"/>
              </w:rPr>
              <w:t xml:space="preserve"> </w:t>
            </w:r>
            <w:r>
              <w:rPr>
                <w:color w:val="000000"/>
                <w:sz w:val="18"/>
                <w:szCs w:val="18"/>
                <w:lang w:val="en-US" w:eastAsia="ru-RU"/>
              </w:rPr>
              <w:t>the</w:t>
            </w:r>
            <w:r w:rsidRPr="00726828">
              <w:rPr>
                <w:color w:val="000000"/>
                <w:sz w:val="18"/>
                <w:szCs w:val="18"/>
                <w:lang w:val="en-US" w:eastAsia="ru-RU"/>
              </w:rPr>
              <w:t xml:space="preserve"> </w:t>
            </w:r>
            <w:r>
              <w:rPr>
                <w:color w:val="000000"/>
                <w:sz w:val="18"/>
                <w:szCs w:val="18"/>
                <w:lang w:val="en-US" w:eastAsia="ru-RU"/>
              </w:rPr>
              <w:t>Interregional</w:t>
            </w:r>
            <w:r w:rsidRPr="00726828">
              <w:rPr>
                <w:color w:val="000000"/>
                <w:sz w:val="18"/>
                <w:szCs w:val="18"/>
                <w:lang w:val="en-US" w:eastAsia="ru-RU"/>
              </w:rPr>
              <w:t xml:space="preserve"> </w:t>
            </w:r>
            <w:r>
              <w:rPr>
                <w:color w:val="000000"/>
                <w:sz w:val="18"/>
                <w:szCs w:val="18"/>
                <w:lang w:val="en-US" w:eastAsia="ru-RU"/>
              </w:rPr>
              <w:t>qualifying</w:t>
            </w:r>
            <w:r w:rsidRPr="00726828">
              <w:rPr>
                <w:color w:val="000000"/>
                <w:sz w:val="18"/>
                <w:szCs w:val="18"/>
                <w:lang w:val="en-US" w:eastAsia="ru-RU"/>
              </w:rPr>
              <w:t xml:space="preserve"> competition </w:t>
            </w:r>
            <w:r>
              <w:rPr>
                <w:color w:val="000000"/>
                <w:sz w:val="18"/>
                <w:szCs w:val="18"/>
                <w:lang w:val="en-US" w:eastAsia="ru-RU"/>
              </w:rPr>
              <w:t>for</w:t>
            </w:r>
            <w:r w:rsidRPr="00726828">
              <w:rPr>
                <w:color w:val="000000"/>
                <w:sz w:val="18"/>
                <w:szCs w:val="18"/>
                <w:lang w:val="en-US" w:eastAsia="ru-RU"/>
              </w:rPr>
              <w:t xml:space="preserve"> </w:t>
            </w:r>
            <w:r>
              <w:rPr>
                <w:color w:val="000000"/>
                <w:sz w:val="18"/>
                <w:szCs w:val="18"/>
                <w:lang w:val="en-US" w:eastAsia="ru-RU"/>
              </w:rPr>
              <w:t>staff</w:t>
            </w:r>
            <w:r w:rsidRPr="00726828">
              <w:rPr>
                <w:color w:val="000000"/>
                <w:sz w:val="18"/>
                <w:szCs w:val="18"/>
                <w:lang w:val="en-US" w:eastAsia="ru-RU"/>
              </w:rPr>
              <w:t xml:space="preserve"> </w:t>
            </w:r>
            <w:r>
              <w:rPr>
                <w:color w:val="000000"/>
                <w:sz w:val="18"/>
                <w:szCs w:val="18"/>
                <w:lang w:val="en-US" w:eastAsia="ru-RU"/>
              </w:rPr>
              <w:t>of</w:t>
            </w:r>
            <w:r w:rsidRPr="00726828">
              <w:rPr>
                <w:color w:val="000000"/>
                <w:sz w:val="18"/>
                <w:szCs w:val="18"/>
                <w:lang w:val="en-US" w:eastAsia="ru-RU"/>
              </w:rPr>
              <w:t xml:space="preserve"> </w:t>
            </w:r>
            <w:r>
              <w:rPr>
                <w:color w:val="000000"/>
                <w:sz w:val="18"/>
                <w:szCs w:val="18"/>
                <w:lang w:val="en-US" w:eastAsia="ru-RU"/>
              </w:rPr>
              <w:t>SDCs</w:t>
            </w:r>
            <w:r w:rsidRPr="00726828">
              <w:rPr>
                <w:color w:val="000000"/>
                <w:sz w:val="18"/>
                <w:szCs w:val="18"/>
                <w:lang w:val="en-US" w:eastAsia="ru-RU"/>
              </w:rPr>
              <w:t xml:space="preserve"> </w:t>
            </w:r>
            <w:r>
              <w:rPr>
                <w:color w:val="000000"/>
                <w:sz w:val="18"/>
                <w:szCs w:val="18"/>
                <w:lang w:val="en-US" w:eastAsia="ru-RU"/>
              </w:rPr>
              <w:t>of</w:t>
            </w:r>
            <w:r w:rsidRPr="00726828">
              <w:rPr>
                <w:color w:val="000000"/>
                <w:sz w:val="18"/>
                <w:szCs w:val="18"/>
                <w:lang w:val="en-US" w:eastAsia="ru-RU"/>
              </w:rPr>
              <w:t xml:space="preserve"> </w:t>
            </w:r>
            <w:r>
              <w:rPr>
                <w:color w:val="000000"/>
                <w:sz w:val="18"/>
                <w:szCs w:val="18"/>
                <w:lang w:val="en-US" w:eastAsia="ru-RU"/>
              </w:rPr>
              <w:t>Russian</w:t>
            </w:r>
            <w:r w:rsidRPr="00726828">
              <w:rPr>
                <w:color w:val="000000"/>
                <w:sz w:val="18"/>
                <w:szCs w:val="18"/>
                <w:lang w:val="en-US" w:eastAsia="ru-RU"/>
              </w:rPr>
              <w:t xml:space="preserve"> </w:t>
            </w:r>
            <w:r>
              <w:rPr>
                <w:color w:val="000000"/>
                <w:sz w:val="18"/>
                <w:szCs w:val="18"/>
                <w:lang w:val="en-US" w:eastAsia="ru-RU"/>
              </w:rPr>
              <w:t>Grids</w:t>
            </w:r>
            <w:r w:rsidRPr="00726828">
              <w:rPr>
                <w:color w:val="000000"/>
                <w:sz w:val="18"/>
                <w:szCs w:val="18"/>
                <w:lang w:val="en-US" w:eastAsia="ru-RU"/>
              </w:rPr>
              <w:t xml:space="preserve"> for repair and maintenance of distribution 0.4 - 10 kV networks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2 400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2 400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7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4</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03E85" w:rsidP="00003E85">
            <w:pPr>
              <w:jc w:val="center"/>
              <w:rPr>
                <w:color w:val="000000"/>
                <w:sz w:val="18"/>
                <w:szCs w:val="18"/>
                <w:lang w:val="ru-RU" w:eastAsia="ru-RU"/>
              </w:rPr>
            </w:pPr>
            <w:r w:rsidRPr="00003E85">
              <w:rPr>
                <w:color w:val="000000"/>
                <w:sz w:val="18"/>
                <w:szCs w:val="18"/>
                <w:lang w:val="ru-RU" w:eastAsia="ru-RU"/>
              </w:rPr>
              <w:t xml:space="preserve">IDGC </w:t>
            </w:r>
            <w:proofErr w:type="spellStart"/>
            <w:r w:rsidRPr="00003E85">
              <w:rPr>
                <w:color w:val="000000"/>
                <w:sz w:val="18"/>
                <w:szCs w:val="18"/>
                <w:lang w:val="ru-RU" w:eastAsia="ru-RU"/>
              </w:rPr>
              <w:t>of</w:t>
            </w:r>
            <w:proofErr w:type="spellEnd"/>
            <w:r w:rsidRPr="00003E85">
              <w:rPr>
                <w:color w:val="000000"/>
                <w:sz w:val="18"/>
                <w:szCs w:val="18"/>
                <w:lang w:val="ru-RU" w:eastAsia="ru-RU"/>
              </w:rPr>
              <w:t xml:space="preserve"> </w:t>
            </w:r>
            <w:proofErr w:type="spellStart"/>
            <w:r w:rsidRPr="00003E85">
              <w:rPr>
                <w:color w:val="000000"/>
                <w:sz w:val="18"/>
                <w:szCs w:val="18"/>
                <w:lang w:val="ru-RU" w:eastAsia="ru-RU"/>
              </w:rPr>
              <w:t>North-Wes</w:t>
            </w:r>
            <w:proofErr w:type="spellEnd"/>
            <w:r>
              <w:rPr>
                <w:color w:val="000000"/>
                <w:sz w:val="18"/>
                <w:szCs w:val="18"/>
                <w:lang w:val="en-US" w:eastAsia="ru-RU"/>
              </w:rPr>
              <w:t>t</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DE7857" w:rsidRDefault="00DE7857" w:rsidP="005C6467">
            <w:pPr>
              <w:jc w:val="center"/>
              <w:rPr>
                <w:color w:val="000000"/>
                <w:sz w:val="18"/>
                <w:szCs w:val="18"/>
                <w:lang w:val="en-US" w:eastAsia="ru-RU"/>
              </w:rPr>
            </w:pPr>
            <w:r w:rsidRPr="00DE7857">
              <w:rPr>
                <w:color w:val="000000"/>
                <w:sz w:val="18"/>
                <w:szCs w:val="18"/>
                <w:lang w:val="en-US" w:eastAsia="ru-RU"/>
              </w:rPr>
              <w:t>emergency and restoration activities</w:t>
            </w:r>
            <w:r>
              <w:rPr>
                <w:color w:val="000000"/>
                <w:sz w:val="18"/>
                <w:szCs w:val="18"/>
                <w:lang w:val="en-US" w:eastAsia="ru-RU"/>
              </w:rPr>
              <w:t xml:space="preserve"> at electric grid facilities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1 91</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1 912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03E85" w:rsidP="005C6467">
            <w:pPr>
              <w:jc w:val="center"/>
              <w:rPr>
                <w:color w:val="000000"/>
                <w:sz w:val="18"/>
                <w:szCs w:val="18"/>
                <w:lang w:val="ru-RU" w:eastAsia="ru-RU"/>
              </w:rPr>
            </w:pPr>
            <w:r w:rsidRPr="00003E85">
              <w:rPr>
                <w:color w:val="000000"/>
                <w:sz w:val="18"/>
                <w:szCs w:val="18"/>
                <w:lang w:val="ru-RU" w:eastAsia="ru-RU"/>
              </w:rPr>
              <w:t xml:space="preserve">IDGC </w:t>
            </w:r>
            <w:proofErr w:type="spellStart"/>
            <w:r w:rsidRPr="00003E85">
              <w:rPr>
                <w:color w:val="000000"/>
                <w:sz w:val="18"/>
                <w:szCs w:val="18"/>
                <w:lang w:val="ru-RU" w:eastAsia="ru-RU"/>
              </w:rPr>
              <w:t>of</w:t>
            </w:r>
            <w:proofErr w:type="spellEnd"/>
            <w:r w:rsidRPr="00003E85">
              <w:rPr>
                <w:color w:val="000000"/>
                <w:sz w:val="18"/>
                <w:szCs w:val="18"/>
                <w:lang w:val="ru-RU" w:eastAsia="ru-RU"/>
              </w:rPr>
              <w:t xml:space="preserve"> North-West</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7A4FCD" w:rsidRDefault="007A4FCD" w:rsidP="007A4FCD">
            <w:pPr>
              <w:jc w:val="center"/>
              <w:rPr>
                <w:color w:val="000000"/>
                <w:sz w:val="18"/>
                <w:szCs w:val="18"/>
                <w:lang w:val="en-US" w:eastAsia="ru-RU"/>
              </w:rPr>
            </w:pPr>
            <w:r>
              <w:rPr>
                <w:color w:val="000000"/>
                <w:sz w:val="18"/>
                <w:szCs w:val="18"/>
                <w:lang w:val="en-US" w:eastAsia="ru-RU"/>
              </w:rPr>
              <w:t>electric</w:t>
            </w:r>
            <w:r w:rsidRPr="007A4FCD">
              <w:rPr>
                <w:color w:val="000000"/>
                <w:sz w:val="18"/>
                <w:szCs w:val="18"/>
                <w:lang w:val="ru-RU" w:eastAsia="ru-RU"/>
              </w:rPr>
              <w:t xml:space="preserve"> </w:t>
            </w:r>
            <w:r>
              <w:rPr>
                <w:color w:val="000000"/>
                <w:sz w:val="18"/>
                <w:szCs w:val="18"/>
                <w:lang w:val="en-US" w:eastAsia="ru-RU"/>
              </w:rPr>
              <w:t>grid</w:t>
            </w:r>
            <w:r w:rsidRPr="007A4FCD">
              <w:rPr>
                <w:color w:val="000000"/>
                <w:sz w:val="18"/>
                <w:szCs w:val="18"/>
                <w:lang w:val="ru-RU" w:eastAsia="ru-RU"/>
              </w:rPr>
              <w:t xml:space="preserve"> </w:t>
            </w:r>
            <w:r>
              <w:rPr>
                <w:color w:val="000000"/>
                <w:sz w:val="18"/>
                <w:szCs w:val="18"/>
                <w:lang w:val="en-US" w:eastAsia="ru-RU"/>
              </w:rPr>
              <w:t>facilities</w:t>
            </w:r>
            <w:r w:rsidRPr="007A4FCD">
              <w:rPr>
                <w:color w:val="000000"/>
                <w:sz w:val="18"/>
                <w:szCs w:val="18"/>
                <w:lang w:val="ru-RU" w:eastAsia="ru-RU"/>
              </w:rPr>
              <w:t xml:space="preserve"> </w:t>
            </w:r>
            <w:r>
              <w:rPr>
                <w:color w:val="000000"/>
                <w:sz w:val="18"/>
                <w:szCs w:val="18"/>
                <w:lang w:val="en-US" w:eastAsia="ru-RU"/>
              </w:rPr>
              <w:t>lease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2</w:t>
            </w:r>
            <w:r>
              <w:rPr>
                <w:color w:val="000000"/>
                <w:sz w:val="18"/>
                <w:szCs w:val="18"/>
                <w:lang w:val="en-US" w:eastAsia="ru-RU"/>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2</w:t>
            </w:r>
            <w:r>
              <w:rPr>
                <w:color w:val="000000"/>
                <w:sz w:val="18"/>
                <w:szCs w:val="18"/>
                <w:lang w:val="en-US" w:eastAsia="ru-RU"/>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7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03E85" w:rsidP="005C6467">
            <w:pPr>
              <w:jc w:val="center"/>
              <w:rPr>
                <w:color w:val="000000"/>
                <w:sz w:val="18"/>
                <w:szCs w:val="18"/>
                <w:lang w:val="ru-RU" w:eastAsia="ru-RU"/>
              </w:rPr>
            </w:pPr>
            <w:r w:rsidRPr="00003E85">
              <w:rPr>
                <w:color w:val="000000"/>
                <w:sz w:val="18"/>
                <w:szCs w:val="18"/>
                <w:lang w:val="ru-RU" w:eastAsia="ru-RU"/>
              </w:rPr>
              <w:t>MOESK</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7A4FCD" w:rsidRDefault="007A4FCD" w:rsidP="005C6467">
            <w:pPr>
              <w:jc w:val="center"/>
              <w:rPr>
                <w:color w:val="000000"/>
                <w:sz w:val="18"/>
                <w:szCs w:val="18"/>
                <w:lang w:val="en-US" w:eastAsia="ru-RU"/>
              </w:rPr>
            </w:pPr>
            <w:r w:rsidRPr="00DE7857">
              <w:rPr>
                <w:color w:val="000000"/>
                <w:sz w:val="18"/>
                <w:szCs w:val="18"/>
                <w:lang w:val="en-US" w:eastAsia="ru-RU"/>
              </w:rPr>
              <w:t>emergency and restoration activities</w:t>
            </w:r>
            <w:r>
              <w:rPr>
                <w:color w:val="000000"/>
                <w:sz w:val="18"/>
                <w:szCs w:val="18"/>
                <w:lang w:val="en-US" w:eastAsia="ru-RU"/>
              </w:rPr>
              <w:t xml:space="preserve"> at electric grid facilities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1 662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1 662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7</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003E85" w:rsidRDefault="00003E85" w:rsidP="005C6467">
            <w:pPr>
              <w:jc w:val="center"/>
              <w:rPr>
                <w:color w:val="000000"/>
                <w:sz w:val="18"/>
                <w:szCs w:val="18"/>
                <w:lang w:val="en-US" w:eastAsia="ru-RU"/>
              </w:rPr>
            </w:pPr>
            <w:r w:rsidRPr="00003E85">
              <w:rPr>
                <w:color w:val="000000"/>
                <w:sz w:val="18"/>
                <w:szCs w:val="18"/>
                <w:lang w:val="en-US" w:eastAsia="ru-RU"/>
              </w:rPr>
              <w:t>IDGC of Centre and Volga Region</w:t>
            </w:r>
            <w:r w:rsidR="009002D8" w:rsidRPr="00003E85">
              <w:rPr>
                <w:color w:val="000000"/>
                <w:sz w:val="18"/>
                <w:szCs w:val="18"/>
                <w:vertAlign w:val="superscript"/>
                <w:lang w:val="en-US"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7A4FCD" w:rsidP="005C6467">
            <w:pPr>
              <w:jc w:val="center"/>
              <w:rPr>
                <w:color w:val="000000"/>
                <w:sz w:val="18"/>
                <w:szCs w:val="18"/>
                <w:lang w:val="ru-RU" w:eastAsia="ru-RU"/>
              </w:rPr>
            </w:pPr>
            <w:proofErr w:type="spellStart"/>
            <w:r>
              <w:rPr>
                <w:color w:val="000000"/>
                <w:sz w:val="18"/>
                <w:szCs w:val="18"/>
                <w:lang w:val="ru-RU" w:eastAsia="ru-RU"/>
              </w:rPr>
              <w:t>grid</w:t>
            </w:r>
            <w:proofErr w:type="spellEnd"/>
            <w:r>
              <w:rPr>
                <w:color w:val="000000"/>
                <w:sz w:val="18"/>
                <w:szCs w:val="18"/>
                <w:lang w:val="ru-RU" w:eastAsia="ru-RU"/>
              </w:rPr>
              <w:t xml:space="preserve"> </w:t>
            </w:r>
            <w:proofErr w:type="spellStart"/>
            <w:r>
              <w:rPr>
                <w:color w:val="000000"/>
                <w:sz w:val="18"/>
                <w:szCs w:val="18"/>
                <w:lang w:val="ru-RU" w:eastAsia="ru-RU"/>
              </w:rPr>
              <w:t>connection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33</w:t>
            </w:r>
            <w:r>
              <w:rPr>
                <w:color w:val="000000"/>
                <w:sz w:val="18"/>
                <w:szCs w:val="18"/>
                <w:lang w:val="en-US"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en-US" w:eastAsia="ru-RU"/>
              </w:rPr>
              <w:t>(</w:t>
            </w:r>
            <w:r>
              <w:rPr>
                <w:color w:val="000000"/>
                <w:sz w:val="18"/>
                <w:szCs w:val="18"/>
                <w:lang w:val="ru-RU" w:eastAsia="ru-RU"/>
              </w:rPr>
              <w:t>36</w:t>
            </w:r>
            <w:r>
              <w:rPr>
                <w:color w:val="000000"/>
                <w:sz w:val="18"/>
                <w:szCs w:val="18"/>
                <w:lang w:val="en-US" w:eastAsia="ru-RU"/>
              </w:rPr>
              <w:t>)</w:t>
            </w:r>
          </w:p>
        </w:tc>
      </w:tr>
      <w:tr w:rsidR="009002D8" w:rsidTr="000564C6">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8</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003E85" w:rsidRDefault="00003E85" w:rsidP="005C6467">
            <w:pPr>
              <w:jc w:val="center"/>
              <w:rPr>
                <w:color w:val="000000"/>
                <w:sz w:val="18"/>
                <w:szCs w:val="18"/>
                <w:lang w:val="en-US" w:eastAsia="ru-RU"/>
              </w:rPr>
            </w:pPr>
            <w:r w:rsidRPr="00003E85">
              <w:rPr>
                <w:color w:val="000000"/>
                <w:sz w:val="18"/>
                <w:szCs w:val="18"/>
                <w:lang w:val="en-US" w:eastAsia="ru-RU"/>
              </w:rPr>
              <w:t>IDGC of Centre and Volga Region</w:t>
            </w:r>
            <w:r w:rsidR="009002D8" w:rsidRPr="00003E85">
              <w:rPr>
                <w:color w:val="000000"/>
                <w:sz w:val="18"/>
                <w:szCs w:val="18"/>
                <w:vertAlign w:val="superscript"/>
                <w:lang w:val="en-US"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7A4FCD" w:rsidRDefault="007A4FCD" w:rsidP="007A4FCD">
            <w:pPr>
              <w:jc w:val="center"/>
              <w:rPr>
                <w:color w:val="000000"/>
                <w:sz w:val="18"/>
                <w:szCs w:val="18"/>
                <w:lang w:val="en-US" w:eastAsia="ru-RU"/>
              </w:rPr>
            </w:pPr>
            <w:r w:rsidRPr="00DE7857">
              <w:rPr>
                <w:color w:val="000000"/>
                <w:sz w:val="18"/>
                <w:szCs w:val="18"/>
                <w:lang w:val="en-US" w:eastAsia="ru-RU"/>
              </w:rPr>
              <w:t>emergency and restoration activities</w:t>
            </w:r>
            <w:r>
              <w:rPr>
                <w:color w:val="000000"/>
                <w:sz w:val="18"/>
                <w:szCs w:val="18"/>
                <w:lang w:val="en-US" w:eastAsia="ru-RU"/>
              </w:rPr>
              <w:t xml:space="preserve">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5 79</w:t>
            </w:r>
            <w:r>
              <w:rPr>
                <w:color w:val="000000"/>
                <w:sz w:val="18"/>
                <w:szCs w:val="18"/>
                <w:lang w:val="en-US" w:eastAsia="ru-RU"/>
              </w:rPr>
              <w:t>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5 79</w:t>
            </w:r>
            <w:r>
              <w:rPr>
                <w:color w:val="000000"/>
                <w:sz w:val="18"/>
                <w:szCs w:val="18"/>
                <w:lang w:val="en-US" w:eastAsia="ru-RU"/>
              </w:rPr>
              <w:t>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9</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5F1EA3" w:rsidP="005C6467">
            <w:pPr>
              <w:jc w:val="center"/>
              <w:rPr>
                <w:color w:val="000000"/>
                <w:sz w:val="18"/>
                <w:szCs w:val="18"/>
                <w:lang w:val="ru-RU" w:eastAsia="ru-RU"/>
              </w:rPr>
            </w:pPr>
            <w:r w:rsidRPr="005F1EA3">
              <w:rPr>
                <w:color w:val="000000"/>
                <w:sz w:val="18"/>
                <w:szCs w:val="18"/>
                <w:lang w:val="ru-RU" w:eastAsia="ru-RU"/>
              </w:rPr>
              <w:t>Lenenergo</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7A4FCD" w:rsidRDefault="007A4FCD" w:rsidP="007A4FCD">
            <w:pPr>
              <w:jc w:val="center"/>
              <w:rPr>
                <w:color w:val="000000"/>
                <w:sz w:val="18"/>
                <w:szCs w:val="18"/>
                <w:lang w:val="en-US" w:eastAsia="ru-RU"/>
              </w:rPr>
            </w:pPr>
            <w:r>
              <w:rPr>
                <w:color w:val="000000"/>
                <w:sz w:val="18"/>
                <w:szCs w:val="18"/>
                <w:lang w:val="en-US" w:eastAsia="ru-RU"/>
              </w:rPr>
              <w:t>p</w:t>
            </w:r>
            <w:r w:rsidRPr="007A4FCD">
              <w:rPr>
                <w:color w:val="000000"/>
                <w:sz w:val="18"/>
                <w:szCs w:val="18"/>
                <w:lang w:val="en-US" w:eastAsia="ru-RU"/>
              </w:rPr>
              <w:t xml:space="preserve">ayments to suppliers and contractors for </w:t>
            </w:r>
            <w:r>
              <w:rPr>
                <w:color w:val="000000"/>
                <w:sz w:val="18"/>
                <w:szCs w:val="18"/>
                <w:lang w:val="en-US" w:eastAsia="ru-RU"/>
              </w:rPr>
              <w:t>Fixed Assets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6 405</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55</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5 852</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10</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3F76F9" w:rsidP="005C6467">
            <w:pPr>
              <w:jc w:val="center"/>
              <w:rPr>
                <w:color w:val="000000"/>
                <w:sz w:val="18"/>
                <w:szCs w:val="18"/>
                <w:lang w:val="ru-RU" w:eastAsia="ru-RU"/>
              </w:rPr>
            </w:pPr>
            <w:r>
              <w:rPr>
                <w:color w:val="000000"/>
                <w:sz w:val="18"/>
                <w:szCs w:val="18"/>
                <w:lang w:val="ru-RU" w:eastAsia="ru-RU"/>
              </w:rPr>
              <w:t>FGC UES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1 087 </w:t>
            </w:r>
            <w:r>
              <w:rPr>
                <w:sz w:val="18"/>
                <w:szCs w:val="18"/>
                <w:lang w:val="ru-RU" w:eastAsia="ru-RU"/>
              </w:rPr>
              <w:t>928</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18 120 43</w:t>
            </w:r>
            <w:r>
              <w:rPr>
                <w:color w:val="000000"/>
                <w:sz w:val="18"/>
                <w:szCs w:val="18"/>
                <w:lang w:val="en-US" w:eastAsia="ru-RU"/>
              </w:rPr>
              <w:t>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16 816 29</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2 392 074</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3F76F9" w:rsidP="005C6467">
            <w:pPr>
              <w:jc w:val="center"/>
              <w:rPr>
                <w:color w:val="000000"/>
                <w:sz w:val="18"/>
                <w:szCs w:val="18"/>
                <w:lang w:val="ru-RU" w:eastAsia="ru-RU"/>
              </w:rPr>
            </w:pPr>
            <w:r>
              <w:rPr>
                <w:color w:val="000000"/>
                <w:sz w:val="18"/>
                <w:szCs w:val="18"/>
                <w:lang w:val="ru-RU" w:eastAsia="ru-RU"/>
              </w:rPr>
              <w:t>FGC UES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Pr>
                <w:color w:val="000000"/>
                <w:sz w:val="18"/>
                <w:szCs w:val="18"/>
                <w:lang w:val="ru-RU" w:eastAsia="ru-RU"/>
              </w:rPr>
              <w:t>grid</w:t>
            </w:r>
            <w:proofErr w:type="spellEnd"/>
            <w:r>
              <w:rPr>
                <w:color w:val="000000"/>
                <w:sz w:val="18"/>
                <w:szCs w:val="18"/>
                <w:lang w:val="ru-RU" w:eastAsia="ru-RU"/>
              </w:rPr>
              <w:t xml:space="preserve"> </w:t>
            </w:r>
            <w:proofErr w:type="spellStart"/>
            <w:r>
              <w:rPr>
                <w:color w:val="000000"/>
                <w:sz w:val="18"/>
                <w:szCs w:val="18"/>
                <w:lang w:val="ru-RU" w:eastAsia="ru-RU"/>
              </w:rPr>
              <w:t>connection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32 104</w:t>
            </w:r>
            <w:r>
              <w:rPr>
                <w:color w:val="000000"/>
                <w:sz w:val="18"/>
                <w:szCs w:val="18"/>
                <w:lang w:val="en-US"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4 82</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87</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26 408</w:t>
            </w:r>
            <w:r>
              <w:rPr>
                <w:color w:val="000000"/>
                <w:sz w:val="18"/>
                <w:szCs w:val="18"/>
                <w:lang w:val="en-US"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12</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3F76F9" w:rsidP="005C6467">
            <w:pPr>
              <w:jc w:val="center"/>
              <w:rPr>
                <w:color w:val="000000"/>
                <w:sz w:val="18"/>
                <w:szCs w:val="18"/>
                <w:lang w:val="ru-RU" w:eastAsia="ru-RU"/>
              </w:rPr>
            </w:pPr>
            <w:r>
              <w:rPr>
                <w:color w:val="000000"/>
                <w:sz w:val="18"/>
                <w:szCs w:val="18"/>
                <w:lang w:val="ru-RU" w:eastAsia="ru-RU"/>
              </w:rPr>
              <w:t>FGC UES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r w:rsidRPr="00DE7857">
              <w:rPr>
                <w:color w:val="000000"/>
                <w:sz w:val="18"/>
                <w:szCs w:val="18"/>
                <w:lang w:val="en-US" w:eastAsia="ru-RU"/>
              </w:rPr>
              <w:t>emergency and restoration activities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374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374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13</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3F76F9" w:rsidP="005C6467">
            <w:pPr>
              <w:jc w:val="center"/>
              <w:rPr>
                <w:color w:val="000000"/>
                <w:sz w:val="18"/>
                <w:szCs w:val="18"/>
                <w:lang w:val="ru-RU" w:eastAsia="ru-RU"/>
              </w:rPr>
            </w:pPr>
            <w:r>
              <w:rPr>
                <w:color w:val="000000"/>
                <w:sz w:val="18"/>
                <w:szCs w:val="18"/>
                <w:lang w:val="ru-RU" w:eastAsia="ru-RU"/>
              </w:rPr>
              <w:t>FGC UES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Pr>
                <w:color w:val="000000"/>
                <w:sz w:val="18"/>
                <w:szCs w:val="18"/>
                <w:lang w:val="ru-RU" w:eastAsia="ru-RU"/>
              </w:rPr>
              <w:t>lease</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9 12</w:t>
            </w:r>
            <w:r>
              <w:rPr>
                <w:color w:val="000000"/>
                <w:sz w:val="18"/>
                <w:szCs w:val="18"/>
                <w:lang w:val="en-US" w:eastAsia="ru-RU"/>
              </w:rPr>
              <w:t>7)</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4 83</w:t>
            </w:r>
            <w:r>
              <w:rPr>
                <w:color w:val="000000"/>
                <w:sz w:val="18"/>
                <w:szCs w:val="18"/>
                <w:lang w:val="en-US" w:eastAsia="ru-RU"/>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2</w:t>
            </w:r>
            <w:r>
              <w:rPr>
                <w:color w:val="000000"/>
                <w:sz w:val="18"/>
                <w:szCs w:val="18"/>
                <w:lang w:val="en-US" w:eastAsia="ru-RU"/>
              </w:rPr>
              <w:t>20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4 516</w:t>
            </w:r>
            <w:r>
              <w:rPr>
                <w:color w:val="000000"/>
                <w:sz w:val="18"/>
                <w:szCs w:val="18"/>
                <w:lang w:val="en-US" w:eastAsia="ru-RU"/>
              </w:rPr>
              <w:t>)</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14</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3F76F9" w:rsidP="005C6467">
            <w:pPr>
              <w:jc w:val="center"/>
              <w:rPr>
                <w:color w:val="000000"/>
                <w:sz w:val="18"/>
                <w:szCs w:val="18"/>
                <w:lang w:val="ru-RU" w:eastAsia="ru-RU"/>
              </w:rPr>
            </w:pPr>
            <w:r>
              <w:rPr>
                <w:color w:val="000000"/>
                <w:sz w:val="18"/>
                <w:szCs w:val="18"/>
                <w:lang w:val="ru-RU" w:eastAsia="ru-RU"/>
              </w:rPr>
              <w:t>FGC UES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Pr>
                <w:color w:val="000000"/>
                <w:sz w:val="18"/>
                <w:szCs w:val="18"/>
                <w:lang w:val="ru-RU" w:eastAsia="ru-RU"/>
              </w:rPr>
              <w:t>construction</w:t>
            </w:r>
            <w:proofErr w:type="spellEnd"/>
            <w:r>
              <w:rPr>
                <w:color w:val="000000"/>
                <w:sz w:val="18"/>
                <w:szCs w:val="18"/>
                <w:lang w:val="ru-RU" w:eastAsia="ru-RU"/>
              </w:rPr>
              <w:t xml:space="preserve"> </w:t>
            </w:r>
            <w:proofErr w:type="spellStart"/>
            <w:r>
              <w:rPr>
                <w:color w:val="000000"/>
                <w:sz w:val="18"/>
                <w:szCs w:val="18"/>
                <w:lang w:val="ru-RU" w:eastAsia="ru-RU"/>
              </w:rPr>
              <w:t>and</w:t>
            </w:r>
            <w:proofErr w:type="spellEnd"/>
            <w:r>
              <w:rPr>
                <w:color w:val="000000"/>
                <w:sz w:val="18"/>
                <w:szCs w:val="18"/>
                <w:lang w:val="ru-RU" w:eastAsia="ru-RU"/>
              </w:rPr>
              <w:t xml:space="preserve"> </w:t>
            </w:r>
            <w:proofErr w:type="spellStart"/>
            <w:r>
              <w:rPr>
                <w:color w:val="000000"/>
                <w:sz w:val="18"/>
                <w:szCs w:val="18"/>
                <w:lang w:val="ru-RU" w:eastAsia="ru-RU"/>
              </w:rPr>
              <w:t>installation</w:t>
            </w:r>
            <w:proofErr w:type="spellEnd"/>
            <w:r>
              <w:rPr>
                <w:color w:val="000000"/>
                <w:sz w:val="18"/>
                <w:szCs w:val="18"/>
                <w:lang w:val="ru-RU" w:eastAsia="ru-RU"/>
              </w:rPr>
              <w:t xml:space="preserve"> </w:t>
            </w:r>
            <w:proofErr w:type="spellStart"/>
            <w:r>
              <w:rPr>
                <w:color w:val="000000"/>
                <w:sz w:val="18"/>
                <w:szCs w:val="18"/>
                <w:lang w:val="ru-RU" w:eastAsia="ru-RU"/>
              </w:rPr>
              <w:t>work</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1 140</w:t>
            </w:r>
            <w:r>
              <w:rPr>
                <w:color w:val="000000"/>
                <w:sz w:val="18"/>
                <w:szCs w:val="18"/>
                <w:lang w:val="en-US"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176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en-US" w:eastAsia="ru-RU"/>
              </w:rPr>
              <w:t>(</w:t>
            </w:r>
            <w:r>
              <w:rPr>
                <w:color w:val="000000"/>
                <w:sz w:val="18"/>
                <w:szCs w:val="18"/>
                <w:lang w:val="ru-RU" w:eastAsia="ru-RU"/>
              </w:rPr>
              <w:t>56</w:t>
            </w:r>
            <w:r>
              <w:rPr>
                <w:color w:val="000000"/>
                <w:sz w:val="18"/>
                <w:szCs w:val="18"/>
                <w:lang w:val="en-US"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907</w:t>
            </w:r>
            <w:r>
              <w:rPr>
                <w:color w:val="000000"/>
                <w:sz w:val="18"/>
                <w:szCs w:val="18"/>
                <w:lang w:val="en-US"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3F76F9" w:rsidP="005C6467">
            <w:pPr>
              <w:jc w:val="center"/>
              <w:rPr>
                <w:color w:val="000000"/>
                <w:sz w:val="18"/>
                <w:szCs w:val="18"/>
                <w:lang w:val="ru-RU" w:eastAsia="ru-RU"/>
              </w:rPr>
            </w:pPr>
            <w:r>
              <w:rPr>
                <w:color w:val="000000"/>
                <w:sz w:val="18"/>
                <w:szCs w:val="18"/>
                <w:lang w:val="ru-RU" w:eastAsia="ru-RU"/>
              </w:rPr>
              <w:t>FGC UES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sidRPr="009D388A">
              <w:rPr>
                <w:color w:val="000000"/>
                <w:sz w:val="18"/>
                <w:szCs w:val="18"/>
                <w:lang w:val="ru-RU" w:eastAsia="ru-RU"/>
              </w:rPr>
              <w:t>acquisition</w:t>
            </w:r>
            <w:proofErr w:type="spellEnd"/>
            <w:r w:rsidRPr="009D388A">
              <w:rPr>
                <w:color w:val="000000"/>
                <w:sz w:val="18"/>
                <w:szCs w:val="18"/>
                <w:lang w:val="ru-RU" w:eastAsia="ru-RU"/>
              </w:rPr>
              <w:t xml:space="preserve"> </w:t>
            </w:r>
            <w:proofErr w:type="spellStart"/>
            <w:r w:rsidRPr="009D388A">
              <w:rPr>
                <w:color w:val="000000"/>
                <w:sz w:val="18"/>
                <w:szCs w:val="18"/>
                <w:lang w:val="ru-RU" w:eastAsia="ru-RU"/>
              </w:rPr>
              <w:t>of</w:t>
            </w:r>
            <w:proofErr w:type="spellEnd"/>
            <w:r w:rsidRPr="009D388A">
              <w:rPr>
                <w:color w:val="000000"/>
                <w:sz w:val="18"/>
                <w:szCs w:val="18"/>
                <w:lang w:val="ru-RU" w:eastAsia="ru-RU"/>
              </w:rPr>
              <w:t xml:space="preserve"> </w:t>
            </w:r>
            <w:proofErr w:type="spellStart"/>
            <w:r w:rsidRPr="009D388A">
              <w:rPr>
                <w:color w:val="000000"/>
                <w:sz w:val="18"/>
                <w:szCs w:val="18"/>
                <w:lang w:val="ru-RU" w:eastAsia="ru-RU"/>
              </w:rPr>
              <w:t>immovable</w:t>
            </w:r>
            <w:proofErr w:type="spellEnd"/>
            <w:r w:rsidRPr="009D388A">
              <w:rPr>
                <w:color w:val="000000"/>
                <w:sz w:val="18"/>
                <w:szCs w:val="18"/>
                <w:lang w:val="ru-RU" w:eastAsia="ru-RU"/>
              </w:rPr>
              <w:t xml:space="preserve"> </w:t>
            </w:r>
            <w:proofErr w:type="spellStart"/>
            <w:r w:rsidRPr="009D388A">
              <w:rPr>
                <w:color w:val="000000"/>
                <w:sz w:val="18"/>
                <w:szCs w:val="18"/>
                <w:lang w:val="ru-RU" w:eastAsia="ru-RU"/>
              </w:rPr>
              <w:t>property</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2</w:t>
            </w:r>
            <w:r>
              <w:rPr>
                <w:color w:val="000000"/>
                <w:sz w:val="18"/>
                <w:szCs w:val="18"/>
                <w:lang w:val="en-US" w:eastAsia="ru-RU"/>
              </w:rPr>
              <w:t>60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260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3F76F9" w:rsidP="005C6467">
            <w:pPr>
              <w:jc w:val="center"/>
              <w:rPr>
                <w:color w:val="000000"/>
                <w:sz w:val="18"/>
                <w:szCs w:val="18"/>
                <w:lang w:val="ru-RU" w:eastAsia="ru-RU"/>
              </w:rPr>
            </w:pPr>
            <w:r>
              <w:rPr>
                <w:color w:val="000000"/>
                <w:sz w:val="18"/>
                <w:szCs w:val="18"/>
                <w:lang w:val="ru-RU" w:eastAsia="ru-RU"/>
              </w:rPr>
              <w:t>FGC UES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Pr>
                <w:color w:val="000000"/>
                <w:sz w:val="18"/>
                <w:szCs w:val="18"/>
                <w:lang w:val="ru-RU" w:eastAsia="ru-RU"/>
              </w:rPr>
              <w:t>other</w:t>
            </w:r>
            <w:proofErr w:type="spellEnd"/>
            <w:r w:rsidRPr="00781E35">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17</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840893" w:rsidP="005C6467">
            <w:pPr>
              <w:jc w:val="center"/>
              <w:rPr>
                <w:color w:val="000000"/>
                <w:sz w:val="18"/>
                <w:szCs w:val="18"/>
                <w:lang w:val="ru-RU" w:eastAsia="ru-RU"/>
              </w:rPr>
            </w:pPr>
            <w:r w:rsidRPr="00840893">
              <w:rPr>
                <w:color w:val="000000"/>
                <w:sz w:val="18"/>
                <w:szCs w:val="18"/>
                <w:lang w:val="ru-RU" w:eastAsia="ru-RU"/>
              </w:rPr>
              <w:t>NIIC-MRSK</w:t>
            </w:r>
            <w:r>
              <w:rPr>
                <w:color w:val="000000"/>
                <w:sz w:val="18"/>
                <w:szCs w:val="18"/>
                <w:vertAlign w:val="superscript"/>
                <w:lang w:val="ru-RU" w:eastAsia="ru-RU"/>
              </w:rPr>
              <w:t xml:space="preserve"> </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sidRPr="009D388A">
              <w:rPr>
                <w:color w:val="000000"/>
                <w:sz w:val="18"/>
                <w:szCs w:val="18"/>
                <w:lang w:val="ru-RU" w:eastAsia="ru-RU"/>
              </w:rPr>
              <w:t>engineering</w:t>
            </w:r>
            <w:proofErr w:type="spellEnd"/>
            <w:r w:rsidRPr="009D388A">
              <w:rPr>
                <w:color w:val="000000"/>
                <w:sz w:val="18"/>
                <w:szCs w:val="18"/>
                <w:lang w:val="ru-RU" w:eastAsia="ru-RU"/>
              </w:rPr>
              <w:t xml:space="preserve"> </w:t>
            </w:r>
            <w:proofErr w:type="spellStart"/>
            <w:r w:rsidRPr="009D388A">
              <w:rPr>
                <w:color w:val="000000"/>
                <w:sz w:val="18"/>
                <w:szCs w:val="18"/>
                <w:lang w:val="ru-RU" w:eastAsia="ru-RU"/>
              </w:rPr>
              <w:t>works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4 000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4 000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18</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A73B76" w:rsidP="005C6467">
            <w:pPr>
              <w:jc w:val="center"/>
              <w:rPr>
                <w:color w:val="000000"/>
                <w:sz w:val="18"/>
                <w:szCs w:val="18"/>
                <w:lang w:val="ru-RU" w:eastAsia="ru-RU"/>
              </w:rPr>
            </w:pPr>
            <w:r w:rsidRPr="00A73B76">
              <w:rPr>
                <w:color w:val="000000"/>
                <w:sz w:val="18"/>
                <w:szCs w:val="18"/>
                <w:lang w:val="ru-RU" w:eastAsia="ru-RU"/>
              </w:rPr>
              <w:t>ZRETO</w:t>
            </w:r>
            <w:r w:rsidR="009002D8">
              <w:rPr>
                <w:color w:val="000000"/>
                <w:sz w:val="18"/>
                <w:szCs w:val="18"/>
                <w:vertAlign w:val="superscript"/>
                <w:lang w:val="ru-RU" w:eastAsia="ru-RU"/>
              </w:rPr>
              <w:t xml:space="preserve"> 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9D388A" w:rsidRDefault="009D388A" w:rsidP="005C6467">
            <w:pPr>
              <w:jc w:val="center"/>
              <w:rPr>
                <w:color w:val="000000"/>
                <w:sz w:val="18"/>
                <w:szCs w:val="18"/>
                <w:lang w:val="en-US" w:eastAsia="ru-RU"/>
              </w:rPr>
            </w:pPr>
            <w:r>
              <w:rPr>
                <w:color w:val="000000"/>
                <w:sz w:val="18"/>
                <w:szCs w:val="18"/>
                <w:lang w:val="en-US" w:eastAsia="ru-RU"/>
              </w:rPr>
              <w:t>overhaul</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47 814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43 492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4 322</w:t>
            </w:r>
          </w:p>
        </w:tc>
      </w:tr>
      <w:tr w:rsidR="009002D8" w:rsidTr="000564C6">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19</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A73B76" w:rsidP="005C6467">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9002D8">
              <w:rPr>
                <w:color w:val="000000"/>
                <w:sz w:val="18"/>
                <w:szCs w:val="18"/>
                <w:vertAlign w:val="superscript"/>
                <w:lang w:val="en-US" w:eastAsia="ru-RU"/>
              </w:rPr>
              <w:t xml:space="preserve"> 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43 40</w:t>
            </w:r>
            <w:r>
              <w:rPr>
                <w:color w:val="000000"/>
                <w:sz w:val="18"/>
                <w:szCs w:val="18"/>
                <w:lang w:val="en-US" w:eastAsia="ru-RU"/>
              </w:rPr>
              <w:t>2</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872 189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831 39</w:t>
            </w:r>
            <w:r>
              <w:rPr>
                <w:color w:val="000000"/>
                <w:sz w:val="18"/>
                <w:szCs w:val="18"/>
                <w:lang w:val="en-US" w:eastAsia="ru-RU"/>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84 19</w:t>
            </w:r>
            <w:r>
              <w:rPr>
                <w:color w:val="000000"/>
                <w:sz w:val="18"/>
                <w:szCs w:val="18"/>
                <w:lang w:val="en-US" w:eastAsia="ru-RU"/>
              </w:rPr>
              <w:t>6</w:t>
            </w:r>
          </w:p>
        </w:tc>
      </w:tr>
      <w:tr w:rsidR="009002D8" w:rsidTr="000564C6">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20</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A73B76" w:rsidP="005C6467">
            <w:pPr>
              <w:jc w:val="center"/>
              <w:rPr>
                <w:color w:val="000000"/>
                <w:sz w:val="18"/>
                <w:szCs w:val="18"/>
                <w:lang w:val="ru-RU" w:eastAsia="ru-RU"/>
              </w:rPr>
            </w:pPr>
            <w:bookmarkStart w:id="26" w:name="RANGE!B23"/>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009002D8">
              <w:rPr>
                <w:color w:val="000000"/>
                <w:sz w:val="18"/>
                <w:szCs w:val="18"/>
                <w:vertAlign w:val="superscript"/>
                <w:lang w:val="en-US" w:eastAsia="ru-RU"/>
              </w:rPr>
              <w:t xml:space="preserve"> 2</w:t>
            </w:r>
            <w:bookmarkEnd w:id="26"/>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D388A" w:rsidP="005C6467">
            <w:pPr>
              <w:jc w:val="center"/>
              <w:rPr>
                <w:color w:val="000000"/>
                <w:sz w:val="18"/>
                <w:szCs w:val="18"/>
                <w:lang w:val="ru-RU" w:eastAsia="ru-RU"/>
              </w:rPr>
            </w:pPr>
            <w:proofErr w:type="spellStart"/>
            <w:r>
              <w:rPr>
                <w:color w:val="000000"/>
                <w:sz w:val="18"/>
                <w:szCs w:val="18"/>
                <w:lang w:val="ru-RU" w:eastAsia="ru-RU"/>
              </w:rPr>
              <w:t>construction</w:t>
            </w:r>
            <w:proofErr w:type="spellEnd"/>
            <w:r>
              <w:rPr>
                <w:color w:val="000000"/>
                <w:sz w:val="18"/>
                <w:szCs w:val="18"/>
                <w:lang w:val="ru-RU" w:eastAsia="ru-RU"/>
              </w:rPr>
              <w:t xml:space="preserve"> </w:t>
            </w:r>
            <w:proofErr w:type="spellStart"/>
            <w:r>
              <w:rPr>
                <w:color w:val="000000"/>
                <w:sz w:val="18"/>
                <w:szCs w:val="18"/>
                <w:lang w:val="ru-RU" w:eastAsia="ru-RU"/>
              </w:rPr>
              <w:t>and</w:t>
            </w:r>
            <w:proofErr w:type="spellEnd"/>
            <w:r>
              <w:rPr>
                <w:color w:val="000000"/>
                <w:sz w:val="18"/>
                <w:szCs w:val="18"/>
                <w:lang w:val="ru-RU" w:eastAsia="ru-RU"/>
              </w:rPr>
              <w:t xml:space="preserve"> </w:t>
            </w:r>
            <w:proofErr w:type="spellStart"/>
            <w:r>
              <w:rPr>
                <w:color w:val="000000"/>
                <w:sz w:val="18"/>
                <w:szCs w:val="18"/>
                <w:lang w:val="ru-RU" w:eastAsia="ru-RU"/>
              </w:rPr>
              <w:t>installation</w:t>
            </w:r>
            <w:proofErr w:type="spellEnd"/>
            <w:r>
              <w:rPr>
                <w:color w:val="000000"/>
                <w:sz w:val="18"/>
                <w:szCs w:val="18"/>
                <w:lang w:val="ru-RU" w:eastAsia="ru-RU"/>
              </w:rPr>
              <w:t xml:space="preserve"> </w:t>
            </w:r>
            <w:proofErr w:type="spellStart"/>
            <w:r>
              <w:rPr>
                <w:color w:val="000000"/>
                <w:sz w:val="18"/>
                <w:szCs w:val="18"/>
                <w:lang w:val="ru-RU" w:eastAsia="ru-RU"/>
              </w:rPr>
              <w:t>work</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13 481</w:t>
            </w:r>
            <w:r>
              <w:rPr>
                <w:color w:val="000000"/>
                <w:sz w:val="18"/>
                <w:szCs w:val="18"/>
                <w:lang w:val="en-US"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14 987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1 506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F56CD" w:rsidP="000F56CD">
            <w:pPr>
              <w:jc w:val="center"/>
              <w:rPr>
                <w:color w:val="000000"/>
                <w:sz w:val="18"/>
                <w:szCs w:val="18"/>
                <w:lang w:val="ru-RU" w:eastAsia="ru-RU"/>
              </w:rPr>
            </w:pPr>
            <w:r w:rsidRPr="000F56CD">
              <w:rPr>
                <w:color w:val="000000"/>
                <w:sz w:val="18"/>
                <w:szCs w:val="18"/>
                <w:lang w:val="ru-RU" w:eastAsia="ru-RU"/>
              </w:rPr>
              <w:t>OJSC “</w:t>
            </w:r>
            <w:proofErr w:type="spellStart"/>
            <w:r w:rsidRPr="000F56CD">
              <w:rPr>
                <w:color w:val="000000"/>
                <w:sz w:val="18"/>
                <w:szCs w:val="18"/>
                <w:lang w:val="ru-RU" w:eastAsia="ru-RU"/>
              </w:rPr>
              <w:t>Energetik</w:t>
            </w:r>
            <w:proofErr w:type="spellEnd"/>
            <w:r w:rsidRPr="000F56CD">
              <w:rPr>
                <w:color w:val="000000"/>
                <w:sz w:val="18"/>
                <w:szCs w:val="18"/>
                <w:lang w:val="ru-RU" w:eastAsia="ru-RU"/>
              </w:rPr>
              <w:t>”</w:t>
            </w:r>
            <w:r>
              <w:rPr>
                <w:color w:val="000000"/>
                <w:sz w:val="18"/>
                <w:szCs w:val="18"/>
                <w:lang w:val="en-US" w:eastAsia="ru-RU"/>
              </w:rPr>
              <w:t xml:space="preserve"> </w:t>
            </w:r>
            <w:r w:rsidR="009002D8">
              <w:rPr>
                <w:color w:val="000000"/>
                <w:sz w:val="18"/>
                <w:szCs w:val="18"/>
                <w:vertAlign w:val="superscript"/>
                <w:lang w:val="en-US"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081B7B" w:rsidRDefault="00081B7B" w:rsidP="005C6467">
            <w:pPr>
              <w:jc w:val="center"/>
              <w:rPr>
                <w:color w:val="000000"/>
                <w:sz w:val="18"/>
                <w:szCs w:val="18"/>
                <w:lang w:val="en-US" w:eastAsia="ru-RU"/>
              </w:rPr>
            </w:pPr>
            <w:r w:rsidRPr="00AA048D">
              <w:rPr>
                <w:color w:val="000000"/>
                <w:sz w:val="18"/>
                <w:szCs w:val="18"/>
                <w:lang w:val="en-US" w:eastAsia="ru-RU"/>
              </w:rPr>
              <w:t>services in lodging and board</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881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881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22</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F56CD" w:rsidP="000F56CD">
            <w:pPr>
              <w:jc w:val="center"/>
              <w:rPr>
                <w:color w:val="000000"/>
                <w:sz w:val="18"/>
                <w:szCs w:val="18"/>
                <w:lang w:val="ru-RU" w:eastAsia="ru-RU"/>
              </w:rPr>
            </w:pPr>
            <w:proofErr w:type="spellStart"/>
            <w:r w:rsidRPr="000F56CD">
              <w:rPr>
                <w:color w:val="000000"/>
                <w:sz w:val="18"/>
                <w:szCs w:val="18"/>
                <w:lang w:val="ru-RU" w:eastAsia="ru-RU"/>
              </w:rPr>
              <w:t>Mobile</w:t>
            </w:r>
            <w:proofErr w:type="spellEnd"/>
            <w:r w:rsidRPr="000F56CD">
              <w:rPr>
                <w:color w:val="000000"/>
                <w:sz w:val="18"/>
                <w:szCs w:val="18"/>
                <w:lang w:val="ru-RU" w:eastAsia="ru-RU"/>
              </w:rPr>
              <w:t xml:space="preserve"> GTES</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081B7B" w:rsidRDefault="00081B7B" w:rsidP="005C6467">
            <w:pPr>
              <w:jc w:val="center"/>
              <w:rPr>
                <w:color w:val="000000"/>
                <w:sz w:val="18"/>
                <w:szCs w:val="18"/>
                <w:lang w:val="en-US" w:eastAsia="ru-RU"/>
              </w:rPr>
            </w:pPr>
            <w:r w:rsidRPr="00081B7B">
              <w:rPr>
                <w:color w:val="000000"/>
                <w:sz w:val="18"/>
                <w:szCs w:val="18"/>
                <w:lang w:val="en-US" w:eastAsia="ru-RU"/>
              </w:rPr>
              <w:t>services under the agency agreement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5 43</w:t>
            </w:r>
            <w:r>
              <w:rPr>
                <w:color w:val="000000"/>
                <w:sz w:val="18"/>
                <w:szCs w:val="18"/>
                <w:lang w:val="en-US" w:eastAsia="ru-RU"/>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5 43</w:t>
            </w:r>
            <w:r>
              <w:rPr>
                <w:color w:val="000000"/>
                <w:sz w:val="18"/>
                <w:szCs w:val="18"/>
                <w:lang w:val="en-US" w:eastAsia="ru-RU"/>
              </w:rPr>
              <w:t>2</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23</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893F72" w:rsidP="005C6467">
            <w:pPr>
              <w:jc w:val="center"/>
              <w:rPr>
                <w:color w:val="000000"/>
                <w:sz w:val="18"/>
                <w:szCs w:val="18"/>
                <w:lang w:val="ru-RU" w:eastAsia="ru-RU"/>
              </w:rPr>
            </w:pPr>
            <w:r w:rsidRPr="00893F72">
              <w:rPr>
                <w:color w:val="000000"/>
                <w:sz w:val="18"/>
                <w:szCs w:val="18"/>
                <w:lang w:val="ru-RU" w:eastAsia="ru-RU"/>
              </w:rPr>
              <w:t>EESNET</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81B7B" w:rsidP="005C6467">
            <w:pPr>
              <w:jc w:val="center"/>
              <w:rPr>
                <w:color w:val="000000"/>
                <w:sz w:val="18"/>
                <w:szCs w:val="18"/>
                <w:lang w:val="ru-RU" w:eastAsia="ru-RU"/>
              </w:rPr>
            </w:pPr>
            <w:r>
              <w:rPr>
                <w:color w:val="000000"/>
                <w:sz w:val="18"/>
                <w:szCs w:val="18"/>
                <w:lang w:val="en-US" w:eastAsia="ru-RU"/>
              </w:rPr>
              <w:t>c</w:t>
            </w:r>
            <w:proofErr w:type="spellStart"/>
            <w:r>
              <w:rPr>
                <w:color w:val="000000"/>
                <w:sz w:val="18"/>
                <w:szCs w:val="18"/>
                <w:lang w:val="ru-RU" w:eastAsia="ru-RU"/>
              </w:rPr>
              <w:t>ommunication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5</w:t>
            </w:r>
            <w:r>
              <w:rPr>
                <w:color w:val="000000"/>
                <w:sz w:val="18"/>
                <w:szCs w:val="18"/>
                <w:lang w:val="en-US" w:eastAsia="ru-RU"/>
              </w:rPr>
              <w:t>3</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1 047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1 05</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4</w:t>
            </w:r>
            <w:r>
              <w:rPr>
                <w:color w:val="000000"/>
                <w:sz w:val="18"/>
                <w:szCs w:val="18"/>
                <w:lang w:val="en-US" w:eastAsia="ru-RU"/>
              </w:rPr>
              <w:t>8</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lastRenderedPageBreak/>
              <w:t>24</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A14CC" w:rsidP="005C6467">
            <w:pPr>
              <w:jc w:val="center"/>
              <w:rPr>
                <w:color w:val="000000"/>
                <w:sz w:val="18"/>
                <w:szCs w:val="18"/>
                <w:lang w:val="ru-RU" w:eastAsia="ru-RU"/>
              </w:rPr>
            </w:pPr>
            <w:r w:rsidRPr="000A14CC">
              <w:rPr>
                <w:color w:val="000000"/>
                <w:sz w:val="18"/>
                <w:szCs w:val="18"/>
                <w:lang w:val="ru-RU" w:eastAsia="ru-RU"/>
              </w:rPr>
              <w:t>NTC-POWER</w:t>
            </w:r>
            <w:r>
              <w:rPr>
                <w:color w:val="000000"/>
                <w:sz w:val="18"/>
                <w:szCs w:val="18"/>
                <w:vertAlign w:val="superscript"/>
                <w:lang w:val="ru-RU" w:eastAsia="ru-RU"/>
              </w:rPr>
              <w:t xml:space="preserve"> </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5F52B8" w:rsidP="005C6467">
            <w:pPr>
              <w:jc w:val="center"/>
              <w:rPr>
                <w:color w:val="000000"/>
                <w:sz w:val="18"/>
                <w:szCs w:val="18"/>
                <w:lang w:val="ru-RU" w:eastAsia="ru-RU"/>
              </w:rPr>
            </w:pPr>
            <w:proofErr w:type="spellStart"/>
            <w:r w:rsidRPr="005F52B8">
              <w:rPr>
                <w:color w:val="000000"/>
                <w:sz w:val="18"/>
                <w:szCs w:val="18"/>
                <w:lang w:val="ru-RU" w:eastAsia="ru-RU"/>
              </w:rPr>
              <w:t>developmental</w:t>
            </w:r>
            <w:proofErr w:type="spellEnd"/>
            <w:r w:rsidRPr="005F52B8">
              <w:rPr>
                <w:color w:val="000000"/>
                <w:sz w:val="18"/>
                <w:szCs w:val="18"/>
                <w:lang w:val="ru-RU" w:eastAsia="ru-RU"/>
              </w:rPr>
              <w:t xml:space="preserve"> </w:t>
            </w:r>
            <w:proofErr w:type="spellStart"/>
            <w:r w:rsidRPr="005F52B8">
              <w:rPr>
                <w:color w:val="000000"/>
                <w:sz w:val="18"/>
                <w:szCs w:val="18"/>
                <w:lang w:val="ru-RU" w:eastAsia="ru-RU"/>
              </w:rPr>
              <w:t>and</w:t>
            </w:r>
            <w:proofErr w:type="spellEnd"/>
            <w:r w:rsidRPr="005F52B8">
              <w:rPr>
                <w:color w:val="000000"/>
                <w:sz w:val="18"/>
                <w:szCs w:val="18"/>
                <w:lang w:val="ru-RU" w:eastAsia="ru-RU"/>
              </w:rPr>
              <w:t xml:space="preserve"> </w:t>
            </w:r>
            <w:proofErr w:type="spellStart"/>
            <w:r w:rsidRPr="005F52B8">
              <w:rPr>
                <w:color w:val="000000"/>
                <w:sz w:val="18"/>
                <w:szCs w:val="18"/>
                <w:lang w:val="ru-RU" w:eastAsia="ru-RU"/>
              </w:rPr>
              <w:t>technological</w:t>
            </w:r>
            <w:proofErr w:type="spellEnd"/>
            <w:r w:rsidRPr="005F52B8">
              <w:rPr>
                <w:color w:val="000000"/>
                <w:sz w:val="18"/>
                <w:szCs w:val="18"/>
                <w:lang w:val="ru-RU" w:eastAsia="ru-RU"/>
              </w:rPr>
              <w:t xml:space="preserve"> </w:t>
            </w:r>
            <w:proofErr w:type="spellStart"/>
            <w:r w:rsidRPr="005F52B8">
              <w:rPr>
                <w:color w:val="000000"/>
                <w:sz w:val="18"/>
                <w:szCs w:val="18"/>
                <w:lang w:val="ru-RU" w:eastAsia="ru-RU"/>
              </w:rPr>
              <w:t>work</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3 422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3 422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A14CC" w:rsidP="005C6467">
            <w:pPr>
              <w:jc w:val="center"/>
              <w:rPr>
                <w:color w:val="000000"/>
                <w:sz w:val="18"/>
                <w:szCs w:val="18"/>
                <w:lang w:val="ru-RU" w:eastAsia="ru-RU"/>
              </w:rPr>
            </w:pPr>
            <w:r w:rsidRPr="000A14CC">
              <w:rPr>
                <w:color w:val="000000"/>
                <w:sz w:val="18"/>
                <w:szCs w:val="18"/>
                <w:lang w:val="ru-RU" w:eastAsia="ru-RU"/>
              </w:rPr>
              <w:t>NTC-POWER</w:t>
            </w:r>
            <w:r w:rsidR="009002D8">
              <w:rPr>
                <w:color w:val="000000"/>
                <w:sz w:val="18"/>
                <w:szCs w:val="18"/>
                <w:vertAlign w:val="superscript"/>
                <w:lang w:val="ru-RU" w:eastAsia="ru-RU"/>
              </w:rPr>
              <w:t xml:space="preserve"> 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5F52B8" w:rsidP="005C6467">
            <w:pPr>
              <w:jc w:val="center"/>
              <w:rPr>
                <w:color w:val="000000"/>
                <w:sz w:val="18"/>
                <w:szCs w:val="18"/>
                <w:lang w:val="ru-RU" w:eastAsia="ru-RU"/>
              </w:rPr>
            </w:pPr>
            <w:proofErr w:type="spellStart"/>
            <w:r w:rsidRPr="005F52B8">
              <w:rPr>
                <w:color w:val="000000"/>
                <w:sz w:val="18"/>
                <w:szCs w:val="18"/>
                <w:lang w:val="ru-RU" w:eastAsia="ru-RU"/>
              </w:rPr>
              <w:t>research</w:t>
            </w:r>
            <w:proofErr w:type="spellEnd"/>
            <w:r w:rsidRPr="005F52B8">
              <w:rPr>
                <w:color w:val="000000"/>
                <w:sz w:val="18"/>
                <w:szCs w:val="18"/>
                <w:lang w:val="ru-RU" w:eastAsia="ru-RU"/>
              </w:rPr>
              <w:t xml:space="preserve"> </w:t>
            </w:r>
            <w:proofErr w:type="spellStart"/>
            <w:r w:rsidRPr="005F52B8">
              <w:rPr>
                <w:color w:val="000000"/>
                <w:sz w:val="18"/>
                <w:szCs w:val="18"/>
                <w:lang w:val="ru-RU" w:eastAsia="ru-RU"/>
              </w:rPr>
              <w:t>engineering</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5 900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5 900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0A14CC" w:rsidP="005C6467">
            <w:pPr>
              <w:jc w:val="center"/>
              <w:rPr>
                <w:color w:val="000000"/>
                <w:sz w:val="18"/>
                <w:szCs w:val="18"/>
                <w:lang w:val="ru-RU" w:eastAsia="ru-RU"/>
              </w:rPr>
            </w:pPr>
            <w:r w:rsidRPr="000A14CC">
              <w:rPr>
                <w:color w:val="000000"/>
                <w:sz w:val="18"/>
                <w:szCs w:val="18"/>
                <w:lang w:val="ru-RU" w:eastAsia="ru-RU"/>
              </w:rPr>
              <w:t>NTC-POWER</w:t>
            </w:r>
            <w:r w:rsidR="009002D8">
              <w:rPr>
                <w:color w:val="000000"/>
                <w:sz w:val="18"/>
                <w:szCs w:val="18"/>
                <w:vertAlign w:val="superscript"/>
                <w:lang w:val="ru-RU" w:eastAsia="ru-RU"/>
              </w:rPr>
              <w:t xml:space="preserve"> 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5F52B8" w:rsidRDefault="005F52B8" w:rsidP="005C6467">
            <w:pPr>
              <w:jc w:val="center"/>
              <w:rPr>
                <w:color w:val="000000"/>
                <w:sz w:val="18"/>
                <w:szCs w:val="18"/>
                <w:lang w:val="en-US" w:eastAsia="ru-RU"/>
              </w:rPr>
            </w:pPr>
            <w:r w:rsidRPr="005F52B8">
              <w:rPr>
                <w:color w:val="000000"/>
                <w:sz w:val="18"/>
                <w:szCs w:val="18"/>
                <w:lang w:val="en-US" w:eastAsia="ru-RU"/>
              </w:rPr>
              <w:t>services for the organization to participate in chess tournament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90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90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27</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5F52B8" w:rsidP="005C6467">
            <w:pPr>
              <w:jc w:val="center"/>
              <w:rPr>
                <w:color w:val="000000"/>
                <w:sz w:val="18"/>
                <w:szCs w:val="18"/>
                <w:lang w:val="ru-RU" w:eastAsia="ru-RU"/>
              </w:rPr>
            </w:pPr>
            <w:r w:rsidRPr="005F52B8">
              <w:rPr>
                <w:color w:val="000000"/>
                <w:sz w:val="18"/>
                <w:szCs w:val="18"/>
                <w:lang w:val="ru-RU" w:eastAsia="ru-RU"/>
              </w:rPr>
              <w:t>ESS-ENES</w:t>
            </w:r>
            <w:r>
              <w:rPr>
                <w:color w:val="000000"/>
                <w:sz w:val="18"/>
                <w:szCs w:val="18"/>
                <w:vertAlign w:val="superscript"/>
                <w:lang w:val="ru-RU" w:eastAsia="ru-RU"/>
              </w:rPr>
              <w:t xml:space="preserve"> </w:t>
            </w:r>
            <w:r w:rsidR="009002D8">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ED6A76" w:rsidP="005C6467">
            <w:pPr>
              <w:jc w:val="center"/>
              <w:rPr>
                <w:color w:val="000000"/>
                <w:sz w:val="18"/>
                <w:szCs w:val="18"/>
                <w:lang w:val="ru-RU" w:eastAsia="ru-RU"/>
              </w:rPr>
            </w:pPr>
            <w:r w:rsidRPr="00DE7857">
              <w:rPr>
                <w:color w:val="000000"/>
                <w:sz w:val="18"/>
                <w:szCs w:val="18"/>
                <w:lang w:val="en-US" w:eastAsia="ru-RU"/>
              </w:rPr>
              <w:t>emergency and restoration activities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259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259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28</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4B2026" w:rsidP="005C6467">
            <w:pPr>
              <w:jc w:val="center"/>
              <w:rPr>
                <w:color w:val="000000"/>
                <w:sz w:val="18"/>
                <w:szCs w:val="18"/>
                <w:lang w:val="ru-RU" w:eastAsia="ru-RU"/>
              </w:rPr>
            </w:pPr>
            <w:r>
              <w:rPr>
                <w:color w:val="000000"/>
                <w:sz w:val="18"/>
                <w:szCs w:val="18"/>
                <w:lang w:val="ru-RU" w:eastAsia="ru-RU"/>
              </w:rPr>
              <w:t xml:space="preserve">IT </w:t>
            </w:r>
            <w:proofErr w:type="spellStart"/>
            <w:r>
              <w:rPr>
                <w:color w:val="000000"/>
                <w:sz w:val="18"/>
                <w:szCs w:val="18"/>
                <w:lang w:val="ru-RU" w:eastAsia="ru-RU"/>
              </w:rPr>
              <w:t>Energy</w:t>
            </w:r>
            <w:proofErr w:type="spellEnd"/>
            <w:r w:rsidR="009002D8">
              <w:rPr>
                <w:color w:val="000000"/>
                <w:sz w:val="18"/>
                <w:szCs w:val="18"/>
                <w:vertAlign w:val="superscript"/>
                <w:lang w:val="ru-RU" w:eastAsia="ru-RU"/>
              </w:rPr>
              <w:t xml:space="preserve"> 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Pr="001301A3" w:rsidRDefault="001301A3" w:rsidP="001301A3">
            <w:pPr>
              <w:jc w:val="center"/>
              <w:rPr>
                <w:color w:val="000000"/>
                <w:sz w:val="18"/>
                <w:szCs w:val="18"/>
                <w:lang w:val="en-US" w:eastAsia="ru-RU"/>
              </w:rPr>
            </w:pPr>
            <w:r w:rsidRPr="001301A3">
              <w:rPr>
                <w:color w:val="000000"/>
                <w:sz w:val="18"/>
                <w:szCs w:val="18"/>
                <w:lang w:val="en-US" w:eastAsia="ru-RU"/>
              </w:rPr>
              <w:t>service to maintain reference data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2 43</w:t>
            </w:r>
            <w:r>
              <w:rPr>
                <w:color w:val="000000"/>
                <w:sz w:val="18"/>
                <w:szCs w:val="18"/>
                <w:lang w:val="en-US" w:eastAsia="ru-RU"/>
              </w:rPr>
              <w:t>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en-US"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2 43</w:t>
            </w:r>
            <w:r>
              <w:rPr>
                <w:color w:val="000000"/>
                <w:sz w:val="18"/>
                <w:szCs w:val="18"/>
                <w:lang w:val="en-US" w:eastAsia="ru-RU"/>
              </w:rPr>
              <w:t>4</w:t>
            </w:r>
          </w:p>
        </w:tc>
      </w:tr>
      <w:tr w:rsidR="009002D8" w:rsidTr="000564C6">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29</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4B2026" w:rsidP="005C6467">
            <w:pPr>
              <w:jc w:val="center"/>
              <w:rPr>
                <w:color w:val="000000"/>
                <w:sz w:val="18"/>
                <w:szCs w:val="18"/>
                <w:lang w:val="ru-RU" w:eastAsia="ru-RU"/>
              </w:rPr>
            </w:pPr>
            <w:r>
              <w:rPr>
                <w:color w:val="000000"/>
                <w:sz w:val="18"/>
                <w:szCs w:val="18"/>
                <w:lang w:val="ru-RU" w:eastAsia="ru-RU"/>
              </w:rPr>
              <w:t xml:space="preserve">IT </w:t>
            </w:r>
            <w:proofErr w:type="spellStart"/>
            <w:r>
              <w:rPr>
                <w:color w:val="000000"/>
                <w:sz w:val="18"/>
                <w:szCs w:val="18"/>
                <w:lang w:val="ru-RU" w:eastAsia="ru-RU"/>
              </w:rPr>
              <w:t>Energy</w:t>
            </w:r>
            <w:proofErr w:type="spellEnd"/>
            <w:r w:rsidR="009002D8">
              <w:rPr>
                <w:color w:val="000000"/>
                <w:sz w:val="18"/>
                <w:szCs w:val="18"/>
                <w:vertAlign w:val="superscript"/>
                <w:lang w:val="ru-RU" w:eastAsia="ru-RU"/>
              </w:rPr>
              <w:t xml:space="preserve"> 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E019AC" w:rsidP="005C6467">
            <w:pPr>
              <w:jc w:val="center"/>
              <w:rPr>
                <w:color w:val="000000"/>
                <w:sz w:val="18"/>
                <w:szCs w:val="18"/>
                <w:lang w:val="ru-RU" w:eastAsia="ru-RU"/>
              </w:rPr>
            </w:pPr>
            <w:r>
              <w:rPr>
                <w:color w:val="000000"/>
                <w:sz w:val="18"/>
                <w:szCs w:val="18"/>
                <w:lang w:val="en-US" w:eastAsia="ru-RU"/>
              </w:rPr>
              <w:t>s</w:t>
            </w:r>
            <w:proofErr w:type="spellStart"/>
            <w:r w:rsidRPr="00E019AC">
              <w:rPr>
                <w:color w:val="000000"/>
                <w:sz w:val="18"/>
                <w:szCs w:val="18"/>
                <w:lang w:val="ru-RU" w:eastAsia="ru-RU"/>
              </w:rPr>
              <w:t>upply</w:t>
            </w:r>
            <w:proofErr w:type="spellEnd"/>
            <w:r w:rsidRPr="00E019AC">
              <w:rPr>
                <w:color w:val="000000"/>
                <w:sz w:val="18"/>
                <w:szCs w:val="18"/>
                <w:lang w:val="ru-RU" w:eastAsia="ru-RU"/>
              </w:rPr>
              <w:t xml:space="preserve"> </w:t>
            </w:r>
            <w:proofErr w:type="spellStart"/>
            <w:r w:rsidRPr="00E019AC">
              <w:rPr>
                <w:color w:val="000000"/>
                <w:sz w:val="18"/>
                <w:szCs w:val="18"/>
                <w:lang w:val="ru-RU" w:eastAsia="ru-RU"/>
              </w:rPr>
              <w:t>of</w:t>
            </w:r>
            <w:proofErr w:type="spellEnd"/>
            <w:r w:rsidRPr="00E019AC">
              <w:rPr>
                <w:color w:val="000000"/>
                <w:sz w:val="18"/>
                <w:szCs w:val="18"/>
                <w:lang w:val="ru-RU" w:eastAsia="ru-RU"/>
              </w:rPr>
              <w:t xml:space="preserve"> </w:t>
            </w:r>
            <w:proofErr w:type="spellStart"/>
            <w:r w:rsidRPr="00E019AC">
              <w:rPr>
                <w:color w:val="000000"/>
                <w:sz w:val="18"/>
                <w:szCs w:val="18"/>
                <w:lang w:val="ru-RU" w:eastAsia="ru-RU"/>
              </w:rPr>
              <w:t>server</w:t>
            </w:r>
            <w:proofErr w:type="spellEnd"/>
            <w:r w:rsidRPr="00E019AC">
              <w:rPr>
                <w:color w:val="000000"/>
                <w:sz w:val="18"/>
                <w:szCs w:val="18"/>
                <w:lang w:val="ru-RU" w:eastAsia="ru-RU"/>
              </w:rPr>
              <w:t xml:space="preserve"> </w:t>
            </w:r>
            <w:proofErr w:type="spellStart"/>
            <w:r w:rsidRPr="00E019AC">
              <w:rPr>
                <w:color w:val="000000"/>
                <w:sz w:val="18"/>
                <w:szCs w:val="18"/>
                <w:lang w:val="ru-RU" w:eastAsia="ru-RU"/>
              </w:rPr>
              <w:t>hardware</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4 2</w:t>
            </w:r>
            <w:r>
              <w:rPr>
                <w:color w:val="000000"/>
                <w:sz w:val="18"/>
                <w:szCs w:val="18"/>
                <w:lang w:val="en-US" w:eastAsia="ru-RU"/>
              </w:rPr>
              <w:t>30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4 2</w:t>
            </w:r>
            <w:r>
              <w:rPr>
                <w:color w:val="000000"/>
                <w:sz w:val="18"/>
                <w:szCs w:val="18"/>
                <w:lang w:val="en-US" w:eastAsia="ru-RU"/>
              </w:rPr>
              <w:t>30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30</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4B2026" w:rsidP="005C6467">
            <w:pPr>
              <w:jc w:val="center"/>
              <w:rPr>
                <w:color w:val="000000"/>
                <w:sz w:val="18"/>
                <w:szCs w:val="18"/>
                <w:lang w:val="ru-RU" w:eastAsia="ru-RU"/>
              </w:rPr>
            </w:pPr>
            <w:r>
              <w:rPr>
                <w:color w:val="000000"/>
                <w:sz w:val="18"/>
                <w:szCs w:val="18"/>
                <w:lang w:val="ru-RU" w:eastAsia="ru-RU"/>
              </w:rPr>
              <w:t xml:space="preserve">IT </w:t>
            </w:r>
            <w:proofErr w:type="spellStart"/>
            <w:r>
              <w:rPr>
                <w:color w:val="000000"/>
                <w:sz w:val="18"/>
                <w:szCs w:val="18"/>
                <w:lang w:val="ru-RU" w:eastAsia="ru-RU"/>
              </w:rPr>
              <w:t>Energy</w:t>
            </w:r>
            <w:proofErr w:type="spellEnd"/>
            <w:r w:rsidR="009002D8">
              <w:rPr>
                <w:color w:val="000000"/>
                <w:sz w:val="18"/>
                <w:szCs w:val="18"/>
                <w:vertAlign w:val="superscript"/>
                <w:lang w:val="ru-RU" w:eastAsia="ru-RU"/>
              </w:rPr>
              <w:t xml:space="preserve"> 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E019AC" w:rsidP="005C6467">
            <w:pPr>
              <w:jc w:val="center"/>
              <w:rPr>
                <w:color w:val="000000"/>
                <w:sz w:val="18"/>
                <w:szCs w:val="18"/>
                <w:lang w:val="ru-RU" w:eastAsia="ru-RU"/>
              </w:rPr>
            </w:pPr>
            <w:proofErr w:type="spellStart"/>
            <w:r w:rsidRPr="00E019AC">
              <w:rPr>
                <w:color w:val="000000"/>
                <w:sz w:val="18"/>
                <w:szCs w:val="18"/>
                <w:lang w:val="ru-RU" w:eastAsia="ru-RU"/>
              </w:rPr>
              <w:t>consulting</w:t>
            </w:r>
            <w:proofErr w:type="spellEnd"/>
            <w:r w:rsidRPr="00E019AC">
              <w:rPr>
                <w:color w:val="000000"/>
                <w:sz w:val="18"/>
                <w:szCs w:val="18"/>
                <w:lang w:val="ru-RU" w:eastAsia="ru-RU"/>
              </w:rPr>
              <w:t xml:space="preserve"> </w:t>
            </w:r>
            <w:proofErr w:type="spellStart"/>
            <w:r w:rsidRPr="00E019AC">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60</w:t>
            </w:r>
            <w:r>
              <w:rPr>
                <w:color w:val="000000"/>
                <w:sz w:val="18"/>
                <w:szCs w:val="18"/>
                <w:lang w:val="en-US" w:eastAsia="ru-RU"/>
              </w:rPr>
              <w:t>2</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60</w:t>
            </w:r>
            <w:r>
              <w:rPr>
                <w:color w:val="000000"/>
                <w:sz w:val="18"/>
                <w:szCs w:val="18"/>
                <w:lang w:val="en-US" w:eastAsia="ru-RU"/>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w:t>
            </w:r>
          </w:p>
        </w:tc>
      </w:tr>
      <w:tr w:rsidR="009002D8" w:rsidTr="000564C6">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center"/>
              <w:rPr>
                <w:color w:val="000000"/>
                <w:sz w:val="18"/>
                <w:szCs w:val="18"/>
                <w:lang w:val="ru-RU" w:eastAsia="ru-RU"/>
              </w:rPr>
            </w:pPr>
            <w:r>
              <w:rPr>
                <w:color w:val="000000"/>
                <w:sz w:val="18"/>
                <w:szCs w:val="18"/>
                <w:lang w:val="ru-RU" w:eastAsia="ru-RU"/>
              </w:rPr>
              <w:t>31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E019AC" w:rsidP="005C6467">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YarEGC</w:t>
            </w:r>
            <w:proofErr w:type="spellEnd"/>
            <w:r>
              <w:rPr>
                <w:color w:val="000000"/>
                <w:sz w:val="18"/>
                <w:szCs w:val="18"/>
                <w:lang w:val="ru-RU" w:eastAsia="ru-RU"/>
              </w:rPr>
              <w:t>»</w:t>
            </w:r>
            <w:r w:rsidR="009002D8">
              <w:rPr>
                <w:color w:val="000000"/>
                <w:sz w:val="18"/>
                <w:szCs w:val="18"/>
                <w:vertAlign w:val="superscript"/>
                <w:lang w:val="ru-RU" w:eastAsia="ru-RU"/>
              </w:rPr>
              <w:t xml:space="preserve"> </w:t>
            </w:r>
            <w:r w:rsidR="009002D8">
              <w:rPr>
                <w:color w:val="000000"/>
                <w:sz w:val="18"/>
                <w:szCs w:val="18"/>
                <w:vertAlign w:val="superscript"/>
                <w:lang w:val="en-US"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002D8" w:rsidRDefault="00215582" w:rsidP="005C6467">
            <w:pPr>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25 906</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302 22</w:t>
            </w:r>
            <w:r>
              <w:rPr>
                <w:color w:val="000000"/>
                <w:sz w:val="18"/>
                <w:szCs w:val="18"/>
                <w:lang w:val="en-US" w:eastAsia="ru-RU"/>
              </w:rPr>
              <w:t>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ru-RU" w:eastAsia="ru-RU"/>
              </w:rPr>
            </w:pPr>
            <w:r>
              <w:rPr>
                <w:color w:val="000000"/>
                <w:sz w:val="18"/>
                <w:szCs w:val="18"/>
                <w:lang w:val="ru-RU" w:eastAsia="ru-RU"/>
              </w:rPr>
              <w:t>296 339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9002D8" w:rsidRDefault="009002D8" w:rsidP="000564C6">
            <w:pPr>
              <w:jc w:val="right"/>
              <w:rPr>
                <w:color w:val="000000"/>
                <w:sz w:val="18"/>
                <w:szCs w:val="18"/>
                <w:lang w:val="en-US" w:eastAsia="ru-RU"/>
              </w:rPr>
            </w:pPr>
            <w:r>
              <w:rPr>
                <w:color w:val="000000"/>
                <w:sz w:val="18"/>
                <w:szCs w:val="18"/>
                <w:lang w:val="ru-RU" w:eastAsia="ru-RU"/>
              </w:rPr>
              <w:t>31 79</w:t>
            </w:r>
            <w:r>
              <w:rPr>
                <w:color w:val="000000"/>
                <w:sz w:val="18"/>
                <w:szCs w:val="18"/>
                <w:lang w:val="en-US" w:eastAsia="ru-RU"/>
              </w:rPr>
              <w:t>2</w:t>
            </w:r>
          </w:p>
        </w:tc>
      </w:tr>
    </w:tbl>
    <w:tbl>
      <w:tblPr>
        <w:tblW w:w="9468" w:type="dxa"/>
        <w:tblLayout w:type="fixed"/>
        <w:tblLook w:val="04A0"/>
      </w:tblPr>
      <w:tblGrid>
        <w:gridCol w:w="288"/>
        <w:gridCol w:w="3793"/>
        <w:gridCol w:w="1514"/>
        <w:gridCol w:w="1355"/>
        <w:gridCol w:w="1276"/>
        <w:gridCol w:w="1242"/>
      </w:tblGrid>
      <w:tr w:rsidR="00997762" w:rsidRPr="00E019AC" w:rsidTr="00A8724C">
        <w:trPr>
          <w:trHeight w:val="255"/>
        </w:trPr>
        <w:tc>
          <w:tcPr>
            <w:tcW w:w="9468" w:type="dxa"/>
            <w:gridSpan w:val="6"/>
            <w:noWrap/>
            <w:hideMark/>
          </w:tcPr>
          <w:p w:rsidR="00997762" w:rsidRPr="00E019AC" w:rsidRDefault="00A570EA" w:rsidP="00997762">
            <w:pPr>
              <w:rPr>
                <w:sz w:val="14"/>
                <w:szCs w:val="14"/>
                <w:lang w:val="en-US" w:eastAsia="ru-RU"/>
              </w:rPr>
            </w:pPr>
            <w:bookmarkStart w:id="27" w:name="RANGE!A37"/>
            <w:r w:rsidRPr="00E019AC">
              <w:rPr>
                <w:sz w:val="14"/>
                <w:szCs w:val="14"/>
                <w:lang w:val="en-US" w:eastAsia="ru-RU"/>
              </w:rPr>
              <w:t xml:space="preserve">     </w:t>
            </w:r>
            <w:r w:rsidR="00997762" w:rsidRPr="00E019AC">
              <w:rPr>
                <w:sz w:val="14"/>
                <w:szCs w:val="14"/>
                <w:lang w:val="en-US" w:eastAsia="ru-RU"/>
              </w:rPr>
              <w:t xml:space="preserve">1 </w:t>
            </w:r>
            <w:r w:rsidR="00E019AC" w:rsidRPr="00AA048D">
              <w:rPr>
                <w:sz w:val="14"/>
                <w:szCs w:val="14"/>
                <w:lang w:val="en-US" w:eastAsia="ru-RU"/>
              </w:rPr>
              <w:t>A legal entity which is a subsidiary of the same company, which is a subsidiary of the Company itself</w:t>
            </w:r>
            <w:bookmarkEnd w:id="27"/>
          </w:p>
        </w:tc>
      </w:tr>
      <w:tr w:rsidR="00997762" w:rsidRPr="00E019AC" w:rsidTr="00A8724C">
        <w:trPr>
          <w:trHeight w:val="255"/>
        </w:trPr>
        <w:tc>
          <w:tcPr>
            <w:tcW w:w="5595" w:type="dxa"/>
            <w:gridSpan w:val="3"/>
            <w:noWrap/>
            <w:hideMark/>
          </w:tcPr>
          <w:p w:rsidR="00997762" w:rsidRPr="00E019AC" w:rsidRDefault="00A570EA" w:rsidP="00997762">
            <w:pPr>
              <w:rPr>
                <w:sz w:val="14"/>
                <w:szCs w:val="14"/>
                <w:lang w:val="en-US" w:eastAsia="ru-RU"/>
              </w:rPr>
            </w:pPr>
            <w:bookmarkStart w:id="28" w:name="RANGE!A38"/>
            <w:r w:rsidRPr="00E019AC">
              <w:rPr>
                <w:sz w:val="14"/>
                <w:szCs w:val="14"/>
                <w:lang w:val="en-US" w:eastAsia="ru-RU"/>
              </w:rPr>
              <w:t xml:space="preserve">     </w:t>
            </w:r>
            <w:r w:rsidR="00997762" w:rsidRPr="00E019AC">
              <w:rPr>
                <w:sz w:val="14"/>
                <w:szCs w:val="14"/>
                <w:lang w:val="en-US" w:eastAsia="ru-RU"/>
              </w:rPr>
              <w:t xml:space="preserve">2 </w:t>
            </w:r>
            <w:r w:rsidR="00E019AC" w:rsidRPr="00AA048D">
              <w:rPr>
                <w:sz w:val="14"/>
                <w:szCs w:val="14"/>
                <w:lang w:val="en-US" w:eastAsia="ru-RU"/>
              </w:rPr>
              <w:t>A legal entity which is a subsidiary of the Company</w:t>
            </w:r>
            <w:bookmarkEnd w:id="28"/>
          </w:p>
        </w:tc>
        <w:tc>
          <w:tcPr>
            <w:tcW w:w="1355" w:type="dxa"/>
            <w:noWrap/>
            <w:hideMark/>
          </w:tcPr>
          <w:p w:rsidR="00997762" w:rsidRPr="00E019AC" w:rsidRDefault="00997762" w:rsidP="00997762">
            <w:pPr>
              <w:rPr>
                <w:lang w:val="en-US"/>
              </w:rPr>
            </w:pPr>
            <w:r w:rsidRPr="00F27625">
              <w:t> </w:t>
            </w:r>
          </w:p>
        </w:tc>
        <w:tc>
          <w:tcPr>
            <w:tcW w:w="1276" w:type="dxa"/>
            <w:noWrap/>
            <w:hideMark/>
          </w:tcPr>
          <w:p w:rsidR="00997762" w:rsidRPr="00E019AC" w:rsidRDefault="00997762" w:rsidP="00997762">
            <w:pPr>
              <w:rPr>
                <w:lang w:val="en-US"/>
              </w:rPr>
            </w:pPr>
            <w:r w:rsidRPr="00F27625">
              <w:t> </w:t>
            </w:r>
          </w:p>
        </w:tc>
        <w:tc>
          <w:tcPr>
            <w:tcW w:w="1242" w:type="dxa"/>
            <w:noWrap/>
            <w:hideMark/>
          </w:tcPr>
          <w:p w:rsidR="00997762" w:rsidRPr="00E019AC" w:rsidRDefault="00997762" w:rsidP="00997762">
            <w:pPr>
              <w:rPr>
                <w:lang w:val="en-US"/>
              </w:rPr>
            </w:pPr>
            <w:r w:rsidRPr="00F27625">
              <w:t> </w:t>
            </w:r>
          </w:p>
        </w:tc>
      </w:tr>
      <w:tr w:rsidR="009A64B8" w:rsidRPr="00997762" w:rsidTr="00A8724C">
        <w:trPr>
          <w:gridAfter w:val="4"/>
          <w:wAfter w:w="5387" w:type="dxa"/>
          <w:trHeight w:val="323"/>
        </w:trPr>
        <w:tc>
          <w:tcPr>
            <w:tcW w:w="4081" w:type="dxa"/>
            <w:gridSpan w:val="2"/>
            <w:noWrap/>
            <w:hideMark/>
          </w:tcPr>
          <w:p w:rsidR="009A64B8" w:rsidRPr="00E019AC" w:rsidRDefault="00A570EA" w:rsidP="00997762">
            <w:pPr>
              <w:rPr>
                <w:sz w:val="14"/>
                <w:szCs w:val="14"/>
                <w:lang w:val="en-US" w:eastAsia="ru-RU"/>
              </w:rPr>
            </w:pPr>
            <w:bookmarkStart w:id="29" w:name="RANGE!A39"/>
            <w:r w:rsidRPr="00E019AC">
              <w:rPr>
                <w:sz w:val="14"/>
                <w:szCs w:val="14"/>
                <w:lang w:val="en-US" w:eastAsia="ru-RU"/>
              </w:rPr>
              <w:t xml:space="preserve">     </w:t>
            </w:r>
            <w:r w:rsidR="009A64B8" w:rsidRPr="00E019AC">
              <w:rPr>
                <w:sz w:val="14"/>
                <w:szCs w:val="14"/>
                <w:lang w:val="en-US" w:eastAsia="ru-RU"/>
              </w:rPr>
              <w:t xml:space="preserve">3 </w:t>
            </w:r>
            <w:r w:rsidR="00E019AC" w:rsidRPr="00AA048D">
              <w:rPr>
                <w:sz w:val="14"/>
                <w:szCs w:val="14"/>
                <w:lang w:val="en-US" w:eastAsia="ru-RU"/>
              </w:rPr>
              <w:t>The parent company of the Company</w:t>
            </w:r>
            <w:bookmarkEnd w:id="29"/>
          </w:p>
          <w:p w:rsidR="009A64B8" w:rsidRPr="00E019AC" w:rsidRDefault="009A64B8" w:rsidP="00997762">
            <w:pPr>
              <w:rPr>
                <w:sz w:val="14"/>
                <w:szCs w:val="14"/>
                <w:lang w:val="en-US" w:eastAsia="ru-RU"/>
              </w:rPr>
            </w:pPr>
          </w:p>
          <w:p w:rsidR="009A64B8" w:rsidRPr="00E019AC" w:rsidRDefault="009A64B8" w:rsidP="00997762">
            <w:pPr>
              <w:rPr>
                <w:sz w:val="14"/>
                <w:szCs w:val="14"/>
                <w:lang w:val="en-US" w:eastAsia="ru-RU"/>
              </w:rPr>
            </w:pPr>
          </w:p>
        </w:tc>
      </w:tr>
      <w:tr w:rsidR="009A64B8" w:rsidRPr="00E111DF" w:rsidTr="00A8724C">
        <w:trPr>
          <w:trHeight w:val="255"/>
        </w:trPr>
        <w:tc>
          <w:tcPr>
            <w:tcW w:w="288" w:type="dxa"/>
            <w:noWrap/>
            <w:hideMark/>
          </w:tcPr>
          <w:p w:rsidR="009A64B8" w:rsidRPr="00E019AC" w:rsidRDefault="009A64B8" w:rsidP="00997762">
            <w:pPr>
              <w:rPr>
                <w:lang w:val="en-US"/>
              </w:rPr>
            </w:pPr>
            <w:r w:rsidRPr="00F27625">
              <w:t> </w:t>
            </w:r>
          </w:p>
        </w:tc>
        <w:tc>
          <w:tcPr>
            <w:tcW w:w="9180" w:type="dxa"/>
            <w:gridSpan w:val="5"/>
            <w:noWrap/>
            <w:hideMark/>
          </w:tcPr>
          <w:p w:rsidR="009A64B8" w:rsidRPr="00E111DF" w:rsidRDefault="009A64B8" w:rsidP="00E111DF">
            <w:pPr>
              <w:jc w:val="both"/>
              <w:rPr>
                <w:lang w:val="en-US"/>
              </w:rPr>
            </w:pPr>
            <w:r w:rsidRPr="00E019AC">
              <w:rPr>
                <w:sz w:val="24"/>
                <w:szCs w:val="24"/>
                <w:lang w:val="en-US" w:eastAsia="ru-RU"/>
              </w:rPr>
              <w:t> </w:t>
            </w:r>
            <w:r w:rsidRPr="00726828">
              <w:rPr>
                <w:sz w:val="24"/>
                <w:szCs w:val="24"/>
                <w:lang w:val="en-US" w:eastAsia="ru-RU"/>
              </w:rPr>
              <w:t>3.11.4</w:t>
            </w:r>
            <w:r w:rsidR="00A8724C" w:rsidRPr="00726828">
              <w:rPr>
                <w:sz w:val="24"/>
                <w:szCs w:val="24"/>
                <w:lang w:val="en-US" w:eastAsia="ru-RU"/>
              </w:rPr>
              <w:t>.</w:t>
            </w:r>
            <w:r w:rsidRPr="00726828">
              <w:rPr>
                <w:sz w:val="24"/>
                <w:szCs w:val="24"/>
                <w:lang w:val="en-US" w:eastAsia="ru-RU"/>
              </w:rPr>
              <w:t xml:space="preserve"> </w:t>
            </w:r>
            <w:r w:rsidR="00E111DF" w:rsidRPr="00046B10">
              <w:rPr>
                <w:sz w:val="24"/>
                <w:szCs w:val="24"/>
                <w:lang w:val="en-US" w:eastAsia="ru-RU"/>
              </w:rPr>
              <w:t>Settlements on contractual obligations for services provided by the Company to affiliates in</w:t>
            </w:r>
            <w:r w:rsidR="00E111DF" w:rsidRPr="00E111DF">
              <w:rPr>
                <w:sz w:val="24"/>
                <w:szCs w:val="24"/>
                <w:lang w:val="en-US" w:eastAsia="ru-RU"/>
              </w:rPr>
              <w:t xml:space="preserve"> </w:t>
            </w:r>
            <w:r w:rsidRPr="00E111DF">
              <w:rPr>
                <w:sz w:val="24"/>
                <w:szCs w:val="24"/>
                <w:lang w:val="en-US" w:eastAsia="ru-RU"/>
              </w:rPr>
              <w:t>2014:</w:t>
            </w:r>
            <w:r w:rsidRPr="00F27625">
              <w:t> </w:t>
            </w:r>
          </w:p>
        </w:tc>
      </w:tr>
    </w:tbl>
    <w:p w:rsidR="00F0601C" w:rsidRPr="00E111DF" w:rsidRDefault="00F0601C" w:rsidP="00574BAF">
      <w:pPr>
        <w:ind w:firstLine="709"/>
        <w:rPr>
          <w:sz w:val="21"/>
          <w:szCs w:val="21"/>
          <w:lang w:val="en-US"/>
        </w:rPr>
      </w:pPr>
    </w:p>
    <w:tbl>
      <w:tblPr>
        <w:tblStyle w:val="af0"/>
        <w:tblW w:w="9360" w:type="dxa"/>
        <w:tblInd w:w="108" w:type="dxa"/>
        <w:tblLayout w:type="fixed"/>
        <w:tblLook w:val="04A0"/>
      </w:tblPr>
      <w:tblGrid>
        <w:gridCol w:w="540"/>
        <w:gridCol w:w="1890"/>
        <w:gridCol w:w="1710"/>
        <w:gridCol w:w="1545"/>
        <w:gridCol w:w="1155"/>
        <w:gridCol w:w="1260"/>
        <w:gridCol w:w="1260"/>
      </w:tblGrid>
      <w:tr w:rsidR="00B6688C" w:rsidRPr="00B6688C" w:rsidTr="007C4502">
        <w:trPr>
          <w:trHeight w:val="975"/>
          <w:tblHeader/>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B6688C" w:rsidRPr="00781E35" w:rsidRDefault="00B6688C" w:rsidP="007C4502">
            <w:pPr>
              <w:spacing w:line="276" w:lineRule="auto"/>
              <w:jc w:val="center"/>
              <w:rPr>
                <w:b/>
                <w:bCs/>
                <w:color w:val="000000"/>
                <w:sz w:val="18"/>
                <w:szCs w:val="18"/>
                <w:lang w:val="ru-RU" w:eastAsia="ru-RU"/>
              </w:rPr>
            </w:pPr>
            <w:proofErr w:type="spellStart"/>
            <w:r>
              <w:rPr>
                <w:b/>
                <w:bCs/>
                <w:color w:val="000000"/>
                <w:sz w:val="18"/>
                <w:szCs w:val="18"/>
                <w:lang w:val="ru-RU" w:eastAsia="ru-RU"/>
              </w:rPr>
              <w:t>Item</w:t>
            </w:r>
            <w:proofErr w:type="spellEnd"/>
            <w:r>
              <w:rPr>
                <w:b/>
                <w:bCs/>
                <w:color w:val="000000"/>
                <w:sz w:val="18"/>
                <w:szCs w:val="18"/>
                <w:lang w:val="ru-RU" w:eastAsia="ru-RU"/>
              </w:rPr>
              <w:t xml:space="preserve"> #</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B6688C" w:rsidRPr="00580E69" w:rsidRDefault="00B6688C" w:rsidP="007C4502">
            <w:pPr>
              <w:spacing w:line="276" w:lineRule="auto"/>
              <w:jc w:val="center"/>
              <w:rPr>
                <w:b/>
                <w:bCs/>
                <w:color w:val="000000"/>
                <w:sz w:val="18"/>
                <w:szCs w:val="18"/>
                <w:lang w:val="en-US" w:eastAsia="ru-RU"/>
              </w:rPr>
            </w:pPr>
            <w:r w:rsidRPr="00580E69">
              <w:rPr>
                <w:b/>
                <w:bCs/>
                <w:color w:val="000000"/>
                <w:sz w:val="18"/>
                <w:szCs w:val="18"/>
                <w:lang w:val="en-US" w:eastAsia="ru-RU"/>
              </w:rPr>
              <w:t>Name of the organization - an affiliate</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B6688C" w:rsidRPr="00781E35" w:rsidRDefault="00B6688C" w:rsidP="007C4502">
            <w:pPr>
              <w:spacing w:line="276" w:lineRule="auto"/>
              <w:jc w:val="center"/>
              <w:rPr>
                <w:b/>
                <w:bCs/>
                <w:color w:val="000000"/>
                <w:sz w:val="18"/>
                <w:szCs w:val="18"/>
                <w:lang w:val="ru-RU" w:eastAsia="ru-RU"/>
              </w:rPr>
            </w:pPr>
            <w:proofErr w:type="spellStart"/>
            <w:r>
              <w:rPr>
                <w:b/>
                <w:bCs/>
                <w:color w:val="000000"/>
                <w:sz w:val="18"/>
                <w:szCs w:val="18"/>
                <w:lang w:val="ru-RU" w:eastAsia="ru-RU"/>
              </w:rPr>
              <w:t>Service</w:t>
            </w:r>
            <w:proofErr w:type="spellEnd"/>
            <w:r>
              <w:rPr>
                <w:b/>
                <w:bCs/>
                <w:color w:val="000000"/>
                <w:sz w:val="18"/>
                <w:szCs w:val="18"/>
                <w:lang w:val="ru-RU" w:eastAsia="ru-RU"/>
              </w:rPr>
              <w:t xml:space="preserve"> </w:t>
            </w:r>
            <w:proofErr w:type="spellStart"/>
            <w:r>
              <w:rPr>
                <w:b/>
                <w:bCs/>
                <w:color w:val="000000"/>
                <w:sz w:val="18"/>
                <w:szCs w:val="18"/>
                <w:lang w:val="ru-RU" w:eastAsia="ru-RU"/>
              </w:rPr>
              <w:t>type</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B6688C" w:rsidRPr="00907317" w:rsidRDefault="00B6688C" w:rsidP="00B6688C">
            <w:pPr>
              <w:spacing w:line="276" w:lineRule="auto"/>
              <w:jc w:val="center"/>
              <w:rPr>
                <w:b/>
                <w:bCs/>
                <w:color w:val="000000"/>
                <w:sz w:val="18"/>
                <w:szCs w:val="18"/>
                <w:lang w:val="en-US" w:eastAsia="ru-RU"/>
              </w:rPr>
            </w:pPr>
            <w:r w:rsidRPr="00907317">
              <w:rPr>
                <w:b/>
                <w:bCs/>
                <w:color w:val="000000"/>
                <w:sz w:val="18"/>
                <w:szCs w:val="18"/>
                <w:lang w:val="en-US" w:eastAsia="ru-RU"/>
              </w:rPr>
              <w:t>Total accounts receivable (+) / payable (-) as at 31.11.201</w:t>
            </w:r>
            <w:r>
              <w:rPr>
                <w:b/>
                <w:bCs/>
                <w:color w:val="000000"/>
                <w:sz w:val="18"/>
                <w:szCs w:val="18"/>
                <w:lang w:val="en-US" w:eastAsia="ru-RU"/>
              </w:rPr>
              <w:t>3</w:t>
            </w:r>
            <w:r w:rsidRPr="00907317">
              <w:rPr>
                <w:b/>
                <w:bCs/>
                <w:color w:val="000000"/>
                <w:sz w:val="18"/>
                <w:szCs w:val="18"/>
                <w:lang w:val="en-US" w:eastAsia="ru-RU"/>
              </w:rPr>
              <w:t xml:space="preserve">, </w:t>
            </w:r>
            <w:proofErr w:type="spellStart"/>
            <w:r w:rsidRPr="00907317">
              <w:rPr>
                <w:b/>
                <w:bCs/>
                <w:color w:val="000000"/>
                <w:sz w:val="18"/>
                <w:szCs w:val="18"/>
                <w:lang w:val="en-US" w:eastAsia="ru-RU"/>
              </w:rPr>
              <w:t>thous</w:t>
            </w:r>
            <w:proofErr w:type="spellEnd"/>
            <w:r w:rsidRPr="00907317">
              <w:rPr>
                <w:b/>
                <w:bCs/>
                <w:color w:val="000000"/>
                <w:sz w:val="18"/>
                <w:szCs w:val="18"/>
                <w:lang w:val="en-US" w:eastAsia="ru-RU"/>
              </w:rPr>
              <w:t>. RUB.</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B6688C" w:rsidRPr="000F7C56" w:rsidRDefault="00B6688C" w:rsidP="007C4502">
            <w:pPr>
              <w:spacing w:line="276" w:lineRule="auto"/>
              <w:jc w:val="center"/>
              <w:rPr>
                <w:b/>
                <w:bCs/>
                <w:color w:val="000000"/>
                <w:sz w:val="18"/>
                <w:szCs w:val="18"/>
                <w:lang w:val="en-US" w:eastAsia="ru-RU"/>
              </w:rPr>
            </w:pPr>
            <w:r w:rsidRPr="000F7C56">
              <w:rPr>
                <w:b/>
                <w:bCs/>
                <w:color w:val="000000"/>
                <w:sz w:val="18"/>
                <w:szCs w:val="18"/>
                <w:lang w:val="en-US" w:eastAsia="ru-RU"/>
              </w:rPr>
              <w:t xml:space="preserve">Amount of charges, </w:t>
            </w:r>
            <w:proofErr w:type="spellStart"/>
            <w:r w:rsidRPr="000F7C56">
              <w:rPr>
                <w:b/>
                <w:bCs/>
                <w:color w:val="000000"/>
                <w:sz w:val="18"/>
                <w:szCs w:val="18"/>
                <w:lang w:val="en-US" w:eastAsia="ru-RU"/>
              </w:rPr>
              <w:t>thous</w:t>
            </w:r>
            <w:proofErr w:type="spellEnd"/>
            <w:r w:rsidRPr="000F7C56">
              <w:rPr>
                <w:b/>
                <w:bCs/>
                <w:color w:val="000000"/>
                <w:sz w:val="18"/>
                <w:szCs w:val="18"/>
                <w:lang w:val="en-US" w:eastAsia="ru-RU"/>
              </w:rPr>
              <w:t>. RUB.</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B6688C" w:rsidRPr="00781E35" w:rsidRDefault="00B6688C" w:rsidP="007C4502">
            <w:pPr>
              <w:spacing w:line="276" w:lineRule="auto"/>
              <w:jc w:val="center"/>
              <w:rPr>
                <w:b/>
                <w:bCs/>
                <w:color w:val="000000"/>
                <w:sz w:val="18"/>
                <w:szCs w:val="18"/>
                <w:lang w:val="ru-RU" w:eastAsia="ru-RU"/>
              </w:rPr>
            </w:pPr>
            <w:proofErr w:type="spellStart"/>
            <w:r>
              <w:rPr>
                <w:b/>
                <w:bCs/>
                <w:color w:val="000000"/>
                <w:sz w:val="18"/>
                <w:szCs w:val="18"/>
                <w:lang w:val="ru-RU" w:eastAsia="ru-RU"/>
              </w:rPr>
              <w:t>Maturity</w:t>
            </w:r>
            <w:proofErr w:type="spellEnd"/>
            <w:r>
              <w:rPr>
                <w:b/>
                <w:bCs/>
                <w:color w:val="000000"/>
                <w:sz w:val="18"/>
                <w:szCs w:val="18"/>
                <w:lang w:val="ru-RU" w:eastAsia="ru-RU"/>
              </w:rPr>
              <w:t xml:space="preserve"> </w:t>
            </w:r>
            <w:proofErr w:type="spellStart"/>
            <w:r>
              <w:rPr>
                <w:b/>
                <w:bCs/>
                <w:color w:val="000000"/>
                <w:sz w:val="18"/>
                <w:szCs w:val="18"/>
                <w:lang w:val="ru-RU" w:eastAsia="ru-RU"/>
              </w:rPr>
              <w:t>value</w:t>
            </w:r>
            <w:proofErr w:type="spellEnd"/>
            <w:r w:rsidRPr="00781E35">
              <w:rPr>
                <w:b/>
                <w:bCs/>
                <w:color w:val="000000"/>
                <w:sz w:val="18"/>
                <w:szCs w:val="18"/>
                <w:lang w:val="ru-RU" w:eastAsia="ru-RU"/>
              </w:rPr>
              <w:t xml:space="preserve">, </w:t>
            </w:r>
            <w:proofErr w:type="spellStart"/>
            <w:r>
              <w:rPr>
                <w:b/>
                <w:bCs/>
                <w:color w:val="000000"/>
                <w:sz w:val="18"/>
                <w:szCs w:val="18"/>
                <w:lang w:val="ru-RU" w:eastAsia="ru-RU"/>
              </w:rPr>
              <w:t>thous</w:t>
            </w:r>
            <w:proofErr w:type="spellEnd"/>
            <w:r>
              <w:rPr>
                <w:b/>
                <w:bCs/>
                <w:color w:val="000000"/>
                <w:sz w:val="18"/>
                <w:szCs w:val="18"/>
                <w:lang w:val="ru-RU" w:eastAsia="ru-RU"/>
              </w:rPr>
              <w:t>. RUB</w:t>
            </w:r>
            <w:r w:rsidRPr="00781E35">
              <w:rPr>
                <w:b/>
                <w:bCs/>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B6688C" w:rsidRPr="00907317" w:rsidRDefault="00B6688C" w:rsidP="00B6688C">
            <w:pPr>
              <w:spacing w:line="276" w:lineRule="auto"/>
              <w:jc w:val="center"/>
              <w:rPr>
                <w:b/>
                <w:bCs/>
                <w:color w:val="000000"/>
                <w:sz w:val="18"/>
                <w:szCs w:val="18"/>
                <w:lang w:val="en-US" w:eastAsia="ru-RU"/>
              </w:rPr>
            </w:pPr>
            <w:r w:rsidRPr="00907317">
              <w:rPr>
                <w:b/>
                <w:bCs/>
                <w:color w:val="000000"/>
                <w:sz w:val="18"/>
                <w:szCs w:val="18"/>
                <w:lang w:val="en-US" w:eastAsia="ru-RU"/>
              </w:rPr>
              <w:t>Total accounts receivable (+) / payable (-) as at 31.12.201</w:t>
            </w:r>
            <w:r>
              <w:rPr>
                <w:b/>
                <w:bCs/>
                <w:color w:val="000000"/>
                <w:sz w:val="18"/>
                <w:szCs w:val="18"/>
                <w:lang w:val="en-US" w:eastAsia="ru-RU"/>
              </w:rPr>
              <w:t>4</w:t>
            </w:r>
            <w:r w:rsidRPr="00907317">
              <w:rPr>
                <w:b/>
                <w:bCs/>
                <w:color w:val="000000"/>
                <w:sz w:val="18"/>
                <w:szCs w:val="18"/>
                <w:lang w:val="en-US" w:eastAsia="ru-RU"/>
              </w:rPr>
              <w:t xml:space="preserve">, </w:t>
            </w:r>
            <w:proofErr w:type="spellStart"/>
            <w:r w:rsidRPr="00907317">
              <w:rPr>
                <w:b/>
                <w:bCs/>
                <w:color w:val="000000"/>
                <w:sz w:val="18"/>
                <w:szCs w:val="18"/>
                <w:lang w:val="en-US" w:eastAsia="ru-RU"/>
              </w:rPr>
              <w:t>thous</w:t>
            </w:r>
            <w:proofErr w:type="spellEnd"/>
            <w:r w:rsidRPr="00907317">
              <w:rPr>
                <w:b/>
                <w:bCs/>
                <w:color w:val="000000"/>
                <w:sz w:val="18"/>
                <w:szCs w:val="18"/>
                <w:lang w:val="en-US" w:eastAsia="ru-RU"/>
              </w:rPr>
              <w:t>. RUB.</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D4033D" w:rsidP="00E743BF">
            <w:pPr>
              <w:jc w:val="center"/>
              <w:rPr>
                <w:color w:val="000000"/>
                <w:sz w:val="18"/>
                <w:szCs w:val="18"/>
                <w:lang w:val="ru-RU" w:eastAsia="ru-RU"/>
              </w:rPr>
            </w:pPr>
            <w:r>
              <w:rPr>
                <w:color w:val="000000"/>
                <w:sz w:val="18"/>
                <w:szCs w:val="18"/>
                <w:lang w:val="ru-RU" w:eastAsia="ru-RU"/>
              </w:rPr>
              <w:t>JSC «</w:t>
            </w:r>
            <w:proofErr w:type="spellStart"/>
            <w:r>
              <w:rPr>
                <w:color w:val="000000"/>
                <w:sz w:val="18"/>
                <w:szCs w:val="18"/>
                <w:lang w:val="ru-RU" w:eastAsia="ru-RU"/>
              </w:rPr>
              <w:t>Russian</w:t>
            </w:r>
            <w:proofErr w:type="spellEnd"/>
            <w:r>
              <w:rPr>
                <w:color w:val="000000"/>
                <w:sz w:val="18"/>
                <w:szCs w:val="18"/>
                <w:lang w:val="ru-RU" w:eastAsia="ru-RU"/>
              </w:rPr>
              <w:t xml:space="preserve"> </w:t>
            </w:r>
            <w:proofErr w:type="spellStart"/>
            <w:r>
              <w:rPr>
                <w:color w:val="000000"/>
                <w:sz w:val="18"/>
                <w:szCs w:val="18"/>
                <w:lang w:val="ru-RU" w:eastAsia="ru-RU"/>
              </w:rPr>
              <w:t>Grids</w:t>
            </w:r>
            <w:proofErr w:type="spellEnd"/>
            <w:r>
              <w:rPr>
                <w:color w:val="000000"/>
                <w:sz w:val="18"/>
                <w:szCs w:val="18"/>
                <w:lang w:val="ru-RU" w:eastAsia="ru-RU"/>
              </w:rPr>
              <w:t>»</w:t>
            </w:r>
            <w:r w:rsidR="00DD73F3">
              <w:rPr>
                <w:color w:val="000000"/>
                <w:sz w:val="18"/>
                <w:szCs w:val="18"/>
                <w:vertAlign w:val="superscript"/>
                <w:lang w:val="ru-RU" w:eastAsia="ru-RU"/>
              </w:rPr>
              <w:t>3</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926E77" w:rsidRDefault="00926E77" w:rsidP="00926E77">
            <w:pPr>
              <w:jc w:val="center"/>
              <w:rPr>
                <w:color w:val="000000"/>
                <w:sz w:val="18"/>
                <w:szCs w:val="18"/>
                <w:lang w:val="en-US" w:eastAsia="ru-RU"/>
              </w:rPr>
            </w:pPr>
            <w:r>
              <w:rPr>
                <w:color w:val="000000"/>
                <w:sz w:val="18"/>
                <w:szCs w:val="18"/>
                <w:lang w:val="en-US" w:eastAsia="ru-RU"/>
              </w:rPr>
              <w:t>p</w:t>
            </w:r>
            <w:r w:rsidRPr="00926E77">
              <w:rPr>
                <w:color w:val="000000"/>
                <w:sz w:val="18"/>
                <w:szCs w:val="18"/>
                <w:lang w:val="en-US" w:eastAsia="ru-RU"/>
              </w:rPr>
              <w:t>rovi</w:t>
            </w:r>
            <w:r>
              <w:rPr>
                <w:color w:val="000000"/>
                <w:sz w:val="18"/>
                <w:szCs w:val="18"/>
                <w:lang w:val="en-US" w:eastAsia="ru-RU"/>
              </w:rPr>
              <w:t xml:space="preserve">sion of workplaces </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920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920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D4033D" w:rsidP="00E743BF">
            <w:pPr>
              <w:jc w:val="center"/>
              <w:rPr>
                <w:color w:val="000000"/>
                <w:sz w:val="18"/>
                <w:szCs w:val="18"/>
                <w:lang w:val="ru-RU" w:eastAsia="ru-RU"/>
              </w:rPr>
            </w:pPr>
            <w:r>
              <w:rPr>
                <w:color w:val="000000"/>
                <w:sz w:val="18"/>
                <w:szCs w:val="18"/>
                <w:lang w:val="ru-RU" w:eastAsia="ru-RU"/>
              </w:rPr>
              <w:t>JSC «</w:t>
            </w:r>
            <w:proofErr w:type="spellStart"/>
            <w:r>
              <w:rPr>
                <w:color w:val="000000"/>
                <w:sz w:val="18"/>
                <w:szCs w:val="18"/>
                <w:lang w:val="ru-RU" w:eastAsia="ru-RU"/>
              </w:rPr>
              <w:t>Russian</w:t>
            </w:r>
            <w:proofErr w:type="spellEnd"/>
            <w:r>
              <w:rPr>
                <w:color w:val="000000"/>
                <w:sz w:val="18"/>
                <w:szCs w:val="18"/>
                <w:lang w:val="ru-RU" w:eastAsia="ru-RU"/>
              </w:rPr>
              <w:t xml:space="preserve"> </w:t>
            </w:r>
            <w:proofErr w:type="spellStart"/>
            <w:r>
              <w:rPr>
                <w:color w:val="000000"/>
                <w:sz w:val="18"/>
                <w:szCs w:val="18"/>
                <w:lang w:val="ru-RU" w:eastAsia="ru-RU"/>
              </w:rPr>
              <w:t>Grids</w:t>
            </w:r>
            <w:proofErr w:type="spellEnd"/>
            <w:r>
              <w:rPr>
                <w:color w:val="000000"/>
                <w:sz w:val="18"/>
                <w:szCs w:val="18"/>
                <w:lang w:val="ru-RU" w:eastAsia="ru-RU"/>
              </w:rPr>
              <w:t>»</w:t>
            </w:r>
            <w:r w:rsidR="00DD73F3">
              <w:rPr>
                <w:color w:val="000000"/>
                <w:sz w:val="18"/>
                <w:szCs w:val="18"/>
                <w:vertAlign w:val="superscript"/>
                <w:lang w:val="ru-RU" w:eastAsia="ru-RU"/>
              </w:rPr>
              <w:t>3</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414C12" w:rsidP="00E743BF">
            <w:pPr>
              <w:jc w:val="center"/>
              <w:rPr>
                <w:color w:val="000000"/>
                <w:sz w:val="18"/>
                <w:szCs w:val="18"/>
                <w:lang w:val="ru-RU" w:eastAsia="ru-RU"/>
              </w:rPr>
            </w:pPr>
            <w:r>
              <w:rPr>
                <w:color w:val="000000"/>
                <w:sz w:val="18"/>
                <w:szCs w:val="18"/>
                <w:lang w:val="en-US" w:eastAsia="ru-RU"/>
              </w:rPr>
              <w:t>sale</w:t>
            </w:r>
            <w:r w:rsidRPr="00414C12">
              <w:rPr>
                <w:color w:val="000000"/>
                <w:sz w:val="18"/>
                <w:szCs w:val="18"/>
                <w:lang w:val="ru-RU" w:eastAsia="ru-RU"/>
              </w:rPr>
              <w:t xml:space="preserve"> </w:t>
            </w:r>
            <w:proofErr w:type="spellStart"/>
            <w:r w:rsidRPr="00414C12">
              <w:rPr>
                <w:color w:val="000000"/>
                <w:sz w:val="18"/>
                <w:szCs w:val="18"/>
                <w:lang w:val="ru-RU" w:eastAsia="ru-RU"/>
              </w:rPr>
              <w:t>of</w:t>
            </w:r>
            <w:proofErr w:type="spellEnd"/>
            <w:r w:rsidRPr="00414C12">
              <w:rPr>
                <w:color w:val="000000"/>
                <w:sz w:val="18"/>
                <w:szCs w:val="18"/>
                <w:lang w:val="ru-RU" w:eastAsia="ru-RU"/>
              </w:rPr>
              <w:t xml:space="preserve"> </w:t>
            </w:r>
            <w:proofErr w:type="spellStart"/>
            <w:r w:rsidRPr="00414C12">
              <w:rPr>
                <w:color w:val="000000"/>
                <w:sz w:val="18"/>
                <w:szCs w:val="18"/>
                <w:lang w:val="ru-RU" w:eastAsia="ru-RU"/>
              </w:rPr>
              <w:t>inventories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25 168</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25 168</w:t>
            </w:r>
          </w:p>
        </w:tc>
      </w:tr>
      <w:tr w:rsidR="00DD73F3" w:rsidTr="00456802">
        <w:trPr>
          <w:trHeight w:val="145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3</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9D48C1" w:rsidP="00E743BF">
            <w:pPr>
              <w:jc w:val="center"/>
              <w:rPr>
                <w:color w:val="000000"/>
                <w:sz w:val="18"/>
                <w:szCs w:val="18"/>
                <w:lang w:val="ru-RU" w:eastAsia="ru-RU"/>
              </w:rPr>
            </w:pPr>
            <w:r w:rsidRPr="009D48C1">
              <w:rPr>
                <w:color w:val="000000"/>
                <w:sz w:val="18"/>
                <w:szCs w:val="18"/>
                <w:lang w:val="ru-RU" w:eastAsia="ru-RU"/>
              </w:rPr>
              <w:t xml:space="preserve">IDGC </w:t>
            </w:r>
            <w:proofErr w:type="spellStart"/>
            <w:r w:rsidRPr="009D48C1">
              <w:rPr>
                <w:color w:val="000000"/>
                <w:sz w:val="18"/>
                <w:szCs w:val="18"/>
                <w:lang w:val="ru-RU" w:eastAsia="ru-RU"/>
              </w:rPr>
              <w:t>of</w:t>
            </w:r>
            <w:proofErr w:type="spellEnd"/>
            <w:r w:rsidRPr="009D48C1">
              <w:rPr>
                <w:color w:val="000000"/>
                <w:sz w:val="18"/>
                <w:szCs w:val="18"/>
                <w:lang w:val="ru-RU" w:eastAsia="ru-RU"/>
              </w:rPr>
              <w:t xml:space="preserve"> South</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726828" w:rsidRDefault="00414C12" w:rsidP="00414C12">
            <w:pPr>
              <w:jc w:val="center"/>
              <w:rPr>
                <w:color w:val="000000"/>
                <w:sz w:val="18"/>
                <w:szCs w:val="18"/>
                <w:lang w:val="en-US" w:eastAsia="ru-RU"/>
              </w:rPr>
            </w:pPr>
            <w:r w:rsidRPr="00726828">
              <w:rPr>
                <w:color w:val="000000"/>
                <w:sz w:val="18"/>
                <w:szCs w:val="18"/>
                <w:lang w:val="en-US" w:eastAsia="ru-RU"/>
              </w:rPr>
              <w:t xml:space="preserve">emergency and </w:t>
            </w:r>
            <w:proofErr w:type="spellStart"/>
            <w:r w:rsidRPr="00726828">
              <w:rPr>
                <w:color w:val="000000"/>
                <w:sz w:val="18"/>
                <w:szCs w:val="18"/>
                <w:lang w:val="en-US" w:eastAsia="ru-RU"/>
              </w:rPr>
              <w:t>re</w:t>
            </w:r>
            <w:r>
              <w:rPr>
                <w:color w:val="000000"/>
                <w:sz w:val="18"/>
                <w:szCs w:val="18"/>
                <w:lang w:val="en-US" w:eastAsia="ru-RU"/>
              </w:rPr>
              <w:t>stora</w:t>
            </w:r>
            <w:r w:rsidRPr="00726828">
              <w:rPr>
                <w:color w:val="000000"/>
                <w:sz w:val="18"/>
                <w:szCs w:val="18"/>
                <w:lang w:val="en-US" w:eastAsia="ru-RU"/>
              </w:rPr>
              <w:t>ion</w:t>
            </w:r>
            <w:proofErr w:type="spellEnd"/>
            <w:r w:rsidRPr="00726828">
              <w:rPr>
                <w:color w:val="000000"/>
                <w:sz w:val="18"/>
                <w:szCs w:val="18"/>
                <w:lang w:val="en-US" w:eastAsia="ru-RU"/>
              </w:rPr>
              <w:t xml:space="preserve"> work in the aftermath of a natural disaster at facilities of IDGC of South - </w:t>
            </w:r>
            <w:proofErr w:type="spellStart"/>
            <w:r w:rsidRPr="00726828">
              <w:rPr>
                <w:color w:val="000000"/>
                <w:sz w:val="18"/>
                <w:szCs w:val="18"/>
                <w:lang w:val="en-US" w:eastAsia="ru-RU"/>
              </w:rPr>
              <w:t>Volgogradenergo</w:t>
            </w:r>
            <w:proofErr w:type="spellEnd"/>
            <w:r w:rsidRPr="00726828">
              <w:rPr>
                <w:color w:val="000000"/>
                <w:sz w:val="18"/>
                <w:szCs w:val="18"/>
                <w:lang w:val="en-US" w:eastAsia="ru-RU"/>
              </w:rPr>
              <w:t xml:space="preserve"> </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1 81</w:t>
            </w:r>
            <w:r>
              <w:rPr>
                <w:color w:val="000000"/>
                <w:sz w:val="18"/>
                <w:szCs w:val="18"/>
                <w:lang w:val="en-US" w:eastAsia="ru-RU"/>
              </w:rPr>
              <w:t>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1 81</w:t>
            </w:r>
            <w:r>
              <w:rPr>
                <w:color w:val="000000"/>
                <w:sz w:val="18"/>
                <w:szCs w:val="18"/>
                <w:lang w:val="en-US" w:eastAsia="ru-RU"/>
              </w:rPr>
              <w:t>7</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4</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6E16A8" w:rsidRDefault="006E16A8" w:rsidP="00E743BF">
            <w:pPr>
              <w:jc w:val="center"/>
              <w:rPr>
                <w:color w:val="000000"/>
                <w:sz w:val="18"/>
                <w:szCs w:val="18"/>
                <w:lang w:val="en-US" w:eastAsia="ru-RU"/>
              </w:rPr>
            </w:pPr>
            <w:r w:rsidRPr="00003E85">
              <w:rPr>
                <w:color w:val="000000"/>
                <w:sz w:val="18"/>
                <w:szCs w:val="18"/>
                <w:lang w:val="en-US" w:eastAsia="ru-RU"/>
              </w:rPr>
              <w:t>IDGC of Centre and Volga Region</w:t>
            </w:r>
            <w:r w:rsidR="00DD73F3" w:rsidRPr="006E16A8">
              <w:rPr>
                <w:color w:val="000000"/>
                <w:sz w:val="18"/>
                <w:szCs w:val="18"/>
                <w:vertAlign w:val="superscript"/>
                <w:lang w:val="en-US"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B66ADC" w:rsidP="00F85F9C">
            <w:pPr>
              <w:jc w:val="center"/>
              <w:rPr>
                <w:color w:val="000000"/>
                <w:sz w:val="18"/>
                <w:szCs w:val="18"/>
                <w:lang w:val="ru-RU" w:eastAsia="ru-RU"/>
              </w:rPr>
            </w:pPr>
            <w:proofErr w:type="spellStart"/>
            <w:r>
              <w:rPr>
                <w:color w:val="000000"/>
                <w:sz w:val="18"/>
                <w:szCs w:val="18"/>
                <w:lang w:val="ru-RU" w:eastAsia="ru-RU"/>
              </w:rPr>
              <w:t>other</w:t>
            </w:r>
            <w:proofErr w:type="spellEnd"/>
            <w:r>
              <w:rPr>
                <w:color w:val="000000"/>
                <w:sz w:val="18"/>
                <w:szCs w:val="18"/>
                <w:lang w:val="ru-RU" w:eastAsia="ru-RU"/>
              </w:rPr>
              <w:t xml:space="preserve"> </w:t>
            </w:r>
            <w:proofErr w:type="spellStart"/>
            <w:r>
              <w:rPr>
                <w:color w:val="000000"/>
                <w:sz w:val="18"/>
                <w:szCs w:val="18"/>
                <w:lang w:val="ru-RU" w:eastAsia="ru-RU"/>
              </w:rPr>
              <w:t>settlements</w:t>
            </w:r>
            <w:proofErr w:type="spellEnd"/>
            <w:r w:rsidR="00DD73F3">
              <w:rPr>
                <w:color w:val="000000"/>
                <w:sz w:val="18"/>
                <w:szCs w:val="18"/>
                <w:lang w:val="ru-RU" w:eastAsia="ru-RU"/>
              </w:rPr>
              <w:t xml:space="preserve"> (</w:t>
            </w:r>
            <w:r>
              <w:rPr>
                <w:color w:val="000000"/>
                <w:sz w:val="18"/>
                <w:szCs w:val="18"/>
                <w:lang w:val="en-US" w:eastAsia="ru-RU"/>
              </w:rPr>
              <w:t>s</w:t>
            </w:r>
            <w:r w:rsidR="00F85F9C">
              <w:rPr>
                <w:color w:val="000000"/>
                <w:sz w:val="18"/>
                <w:szCs w:val="18"/>
                <w:lang w:val="en-US" w:eastAsia="ru-RU"/>
              </w:rPr>
              <w:t>hare</w:t>
            </w:r>
            <w:r>
              <w:rPr>
                <w:color w:val="000000"/>
                <w:sz w:val="18"/>
                <w:szCs w:val="18"/>
                <w:lang w:val="en-US" w:eastAsia="ru-RU"/>
              </w:rPr>
              <w:t>s</w:t>
            </w:r>
            <w:r w:rsidR="00DD73F3">
              <w:rPr>
                <w:color w:val="000000"/>
                <w:sz w:val="18"/>
                <w:szCs w:val="18"/>
                <w:lang w:val="ru-RU" w:eastAsia="ru-RU"/>
              </w:rPr>
              <w:t>)</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1 057</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374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8</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1 423</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6E16A8" w:rsidRDefault="006E16A8" w:rsidP="006E16A8">
            <w:pPr>
              <w:jc w:val="center"/>
              <w:rPr>
                <w:color w:val="000000"/>
                <w:sz w:val="18"/>
                <w:szCs w:val="18"/>
                <w:lang w:val="en-US" w:eastAsia="ru-RU"/>
              </w:rPr>
            </w:pPr>
            <w:r w:rsidRPr="00003E85">
              <w:rPr>
                <w:color w:val="000000"/>
                <w:sz w:val="18"/>
                <w:szCs w:val="18"/>
                <w:lang w:val="en-US" w:eastAsia="ru-RU"/>
              </w:rPr>
              <w:t>IDGC of Centre and Volga Region</w:t>
            </w:r>
            <w:r w:rsidR="00DD73F3" w:rsidRPr="006E16A8">
              <w:rPr>
                <w:color w:val="000000"/>
                <w:sz w:val="18"/>
                <w:szCs w:val="18"/>
                <w:vertAlign w:val="superscript"/>
                <w:lang w:val="en-US"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B66ADC" w:rsidP="00B66ADC">
            <w:pPr>
              <w:jc w:val="center"/>
              <w:rPr>
                <w:color w:val="000000"/>
                <w:sz w:val="18"/>
                <w:szCs w:val="18"/>
                <w:lang w:val="ru-RU" w:eastAsia="ru-RU"/>
              </w:rPr>
            </w:pPr>
            <w:proofErr w:type="spellStart"/>
            <w:r>
              <w:rPr>
                <w:color w:val="000000"/>
                <w:sz w:val="18"/>
                <w:szCs w:val="18"/>
                <w:lang w:val="ru-RU" w:eastAsia="ru-RU"/>
              </w:rPr>
              <w:t>other</w:t>
            </w:r>
            <w:proofErr w:type="spellEnd"/>
            <w:r>
              <w:rPr>
                <w:color w:val="000000"/>
                <w:sz w:val="18"/>
                <w:szCs w:val="18"/>
                <w:lang w:val="ru-RU" w:eastAsia="ru-RU"/>
              </w:rPr>
              <w:t xml:space="preserve"> </w:t>
            </w:r>
            <w:proofErr w:type="spellStart"/>
            <w:r>
              <w:rPr>
                <w:color w:val="000000"/>
                <w:sz w:val="18"/>
                <w:szCs w:val="18"/>
                <w:lang w:val="ru-RU" w:eastAsia="ru-RU"/>
              </w:rPr>
              <w:t>settlements</w:t>
            </w:r>
            <w:proofErr w:type="spellEnd"/>
            <w:r w:rsidR="00DD73F3">
              <w:rPr>
                <w:color w:val="000000"/>
                <w:sz w:val="18"/>
                <w:szCs w:val="18"/>
                <w:lang w:val="ru-RU" w:eastAsia="ru-RU"/>
              </w:rPr>
              <w:t xml:space="preserve"> (</w:t>
            </w:r>
            <w:r>
              <w:rPr>
                <w:color w:val="000000"/>
                <w:sz w:val="18"/>
                <w:szCs w:val="18"/>
                <w:lang w:val="en-US" w:eastAsia="ru-RU"/>
              </w:rPr>
              <w:t>dividends</w:t>
            </w:r>
            <w:r w:rsidR="00DD73F3">
              <w:rPr>
                <w:color w:val="000000"/>
                <w:sz w:val="18"/>
                <w:szCs w:val="18"/>
                <w:lang w:val="ru-RU" w:eastAsia="ru-RU"/>
              </w:rPr>
              <w:t>)</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7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6E16A8" w:rsidP="00E743BF">
            <w:pPr>
              <w:jc w:val="center"/>
              <w:rPr>
                <w:color w:val="000000"/>
                <w:sz w:val="18"/>
                <w:szCs w:val="18"/>
                <w:lang w:val="ru-RU" w:eastAsia="ru-RU"/>
              </w:rPr>
            </w:pPr>
            <w:r w:rsidRPr="005F1EA3">
              <w:rPr>
                <w:color w:val="000000"/>
                <w:sz w:val="18"/>
                <w:szCs w:val="18"/>
                <w:lang w:val="ru-RU" w:eastAsia="ru-RU"/>
              </w:rPr>
              <w:t>Lenenergo</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F40ECF" w:rsidRDefault="00F40ECF" w:rsidP="00F40ECF">
            <w:pPr>
              <w:jc w:val="center"/>
              <w:rPr>
                <w:color w:val="000000"/>
                <w:sz w:val="18"/>
                <w:szCs w:val="18"/>
                <w:lang w:val="en-US" w:eastAsia="ru-RU"/>
              </w:rPr>
            </w:pPr>
            <w:r>
              <w:rPr>
                <w:color w:val="000000"/>
                <w:sz w:val="18"/>
                <w:szCs w:val="18"/>
                <w:lang w:val="en-US" w:eastAsia="ru-RU"/>
              </w:rPr>
              <w:t xml:space="preserve">the </w:t>
            </w:r>
            <w:r w:rsidRPr="00F40ECF">
              <w:rPr>
                <w:color w:val="000000"/>
                <w:sz w:val="18"/>
                <w:szCs w:val="18"/>
                <w:lang w:val="en-US" w:eastAsia="ru-RU"/>
              </w:rPr>
              <w:t xml:space="preserve">right </w:t>
            </w:r>
            <w:r>
              <w:rPr>
                <w:color w:val="000000"/>
                <w:sz w:val="18"/>
                <w:szCs w:val="18"/>
                <w:lang w:val="en-US" w:eastAsia="ru-RU"/>
              </w:rPr>
              <w:t xml:space="preserve">to install </w:t>
            </w:r>
            <w:r w:rsidRPr="00F40ECF">
              <w:rPr>
                <w:color w:val="000000"/>
                <w:sz w:val="18"/>
                <w:szCs w:val="18"/>
                <w:lang w:val="en-US" w:eastAsia="ru-RU"/>
              </w:rPr>
              <w:t>fiber-optic lines at power</w:t>
            </w:r>
            <w:r>
              <w:rPr>
                <w:color w:val="000000"/>
                <w:sz w:val="18"/>
                <w:szCs w:val="18"/>
                <w:lang w:val="en-US" w:eastAsia="ru-RU"/>
              </w:rPr>
              <w:t xml:space="preserve"> facilities</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55</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55</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121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7</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8B651E" w:rsidP="00E743BF">
            <w:pPr>
              <w:jc w:val="center"/>
              <w:rPr>
                <w:color w:val="000000"/>
                <w:sz w:val="18"/>
                <w:szCs w:val="18"/>
                <w:lang w:val="ru-RU" w:eastAsia="ru-RU"/>
              </w:rPr>
            </w:pPr>
            <w:r w:rsidRPr="008B651E">
              <w:rPr>
                <w:color w:val="000000"/>
                <w:sz w:val="18"/>
                <w:szCs w:val="18"/>
                <w:lang w:val="ru-RU" w:eastAsia="ru-RU"/>
              </w:rPr>
              <w:t>Kubanenergo</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BC17F9" w:rsidRDefault="00BC17F9" w:rsidP="00BC17F9">
            <w:pPr>
              <w:jc w:val="center"/>
              <w:rPr>
                <w:color w:val="000000"/>
                <w:sz w:val="18"/>
                <w:szCs w:val="18"/>
                <w:lang w:val="en-US" w:eastAsia="ru-RU"/>
              </w:rPr>
            </w:pPr>
            <w:r w:rsidRPr="00BC17F9">
              <w:rPr>
                <w:color w:val="000000"/>
                <w:sz w:val="18"/>
                <w:szCs w:val="18"/>
                <w:lang w:val="en-US" w:eastAsia="ru-RU"/>
              </w:rPr>
              <w:t xml:space="preserve">work on the technical, operational maintenance and repair of facilities owned by </w:t>
            </w:r>
            <w:proofErr w:type="spellStart"/>
            <w:r w:rsidRPr="00BC17F9">
              <w:rPr>
                <w:color w:val="000000"/>
                <w:sz w:val="18"/>
                <w:szCs w:val="18"/>
                <w:lang w:val="en-US" w:eastAsia="ru-RU"/>
              </w:rPr>
              <w:t>Kubanenergo</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10 460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10 460</w:t>
            </w:r>
          </w:p>
        </w:tc>
      </w:tr>
      <w:tr w:rsidR="00C3681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E743BF">
            <w:pPr>
              <w:jc w:val="center"/>
              <w:rPr>
                <w:color w:val="000000"/>
                <w:sz w:val="18"/>
                <w:szCs w:val="18"/>
                <w:lang w:val="ru-RU" w:eastAsia="ru-RU"/>
              </w:rPr>
            </w:pPr>
            <w:r>
              <w:rPr>
                <w:color w:val="000000"/>
                <w:sz w:val="18"/>
                <w:szCs w:val="18"/>
                <w:lang w:val="ru-RU" w:eastAsia="ru-RU"/>
              </w:rPr>
              <w:lastRenderedPageBreak/>
              <w:t>8</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E743BF">
            <w:pPr>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C36813" w:rsidRPr="00E177BA" w:rsidRDefault="00C36813" w:rsidP="007C4502">
            <w:pPr>
              <w:jc w:val="center"/>
              <w:rPr>
                <w:color w:val="000000"/>
                <w:sz w:val="18"/>
                <w:szCs w:val="18"/>
                <w:lang w:val="ru-RU" w:eastAsia="ru-RU"/>
              </w:rPr>
            </w:pPr>
            <w:proofErr w:type="spellStart"/>
            <w:r>
              <w:rPr>
                <w:color w:val="000000"/>
                <w:sz w:val="18"/>
                <w:szCs w:val="18"/>
                <w:lang w:val="ru-RU" w:eastAsia="ru-RU"/>
              </w:rPr>
              <w:t>property</w:t>
            </w:r>
            <w:proofErr w:type="spellEnd"/>
            <w:r>
              <w:rPr>
                <w:color w:val="000000"/>
                <w:sz w:val="18"/>
                <w:szCs w:val="18"/>
                <w:lang w:val="ru-RU" w:eastAsia="ru-RU"/>
              </w:rPr>
              <w:t xml:space="preserve"> </w:t>
            </w:r>
            <w:proofErr w:type="spellStart"/>
            <w:r>
              <w:rPr>
                <w:color w:val="000000"/>
                <w:sz w:val="18"/>
                <w:szCs w:val="18"/>
                <w:lang w:val="ru-RU" w:eastAsia="ru-RU"/>
              </w:rPr>
              <w:t>lease</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en-US" w:eastAsia="ru-RU"/>
              </w:rPr>
            </w:pPr>
            <w:r>
              <w:rPr>
                <w:color w:val="000000"/>
                <w:sz w:val="18"/>
                <w:szCs w:val="18"/>
                <w:lang w:val="ru-RU" w:eastAsia="ru-RU"/>
              </w:rPr>
              <w:t>2 0</w:t>
            </w:r>
            <w:r>
              <w:rPr>
                <w:color w:val="000000"/>
                <w:sz w:val="18"/>
                <w:szCs w:val="18"/>
                <w:lang w:val="en-US" w:eastAsia="ru-RU"/>
              </w:rPr>
              <w:t>50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en-US" w:eastAsia="ru-RU"/>
              </w:rPr>
            </w:pPr>
            <w:r>
              <w:rPr>
                <w:color w:val="000000"/>
                <w:sz w:val="18"/>
                <w:szCs w:val="18"/>
                <w:lang w:val="ru-RU" w:eastAsia="ru-RU"/>
              </w:rPr>
              <w:t>2 0</w:t>
            </w:r>
            <w:r>
              <w:rPr>
                <w:color w:val="000000"/>
                <w:sz w:val="18"/>
                <w:szCs w:val="18"/>
                <w:lang w:val="en-US" w:eastAsia="ru-RU"/>
              </w:rPr>
              <w:t>50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ru-RU" w:eastAsia="ru-RU"/>
              </w:rPr>
            </w:pPr>
            <w:r>
              <w:rPr>
                <w:color w:val="000000"/>
                <w:sz w:val="18"/>
                <w:szCs w:val="18"/>
                <w:lang w:val="ru-RU" w:eastAsia="ru-RU"/>
              </w:rPr>
              <w:t>-</w:t>
            </w:r>
          </w:p>
        </w:tc>
      </w:tr>
      <w:tr w:rsidR="00C36813" w:rsidTr="00456802">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E743BF">
            <w:pPr>
              <w:jc w:val="center"/>
              <w:rPr>
                <w:color w:val="000000"/>
                <w:sz w:val="18"/>
                <w:szCs w:val="18"/>
                <w:lang w:val="ru-RU" w:eastAsia="ru-RU"/>
              </w:rPr>
            </w:pPr>
            <w:r>
              <w:rPr>
                <w:color w:val="000000"/>
                <w:sz w:val="18"/>
                <w:szCs w:val="18"/>
                <w:lang w:val="ru-RU" w:eastAsia="ru-RU"/>
              </w:rPr>
              <w:t>9</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E743BF">
            <w:pPr>
              <w:jc w:val="center"/>
              <w:rPr>
                <w:color w:val="000000"/>
                <w:sz w:val="18"/>
                <w:szCs w:val="18"/>
                <w:lang w:val="ru-RU" w:eastAsia="ru-RU"/>
              </w:rPr>
            </w:pPr>
            <w:r>
              <w:rPr>
                <w:color w:val="000000"/>
                <w:sz w:val="18"/>
                <w:szCs w:val="18"/>
                <w:lang w:val="ru-RU" w:eastAsia="ru-RU"/>
              </w:rPr>
              <w:t>FGC UES</w:t>
            </w:r>
            <w:r>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C36813" w:rsidRPr="00E177BA" w:rsidRDefault="00C36813" w:rsidP="007C4502">
            <w:pPr>
              <w:jc w:val="center"/>
              <w:rPr>
                <w:color w:val="000000"/>
                <w:sz w:val="18"/>
                <w:szCs w:val="18"/>
                <w:lang w:val="ru-RU" w:eastAsia="ru-RU"/>
              </w:rPr>
            </w:pPr>
            <w:proofErr w:type="spellStart"/>
            <w:r>
              <w:rPr>
                <w:color w:val="000000"/>
                <w:sz w:val="18"/>
                <w:szCs w:val="18"/>
                <w:lang w:val="ru-RU" w:eastAsia="ru-RU"/>
              </w:rPr>
              <w:t>emergency</w:t>
            </w:r>
            <w:proofErr w:type="spellEnd"/>
            <w:r>
              <w:rPr>
                <w:color w:val="000000"/>
                <w:sz w:val="18"/>
                <w:szCs w:val="18"/>
                <w:lang w:val="ru-RU" w:eastAsia="ru-RU"/>
              </w:rPr>
              <w:t xml:space="preserve"> </w:t>
            </w:r>
            <w:proofErr w:type="spellStart"/>
            <w:r>
              <w:rPr>
                <w:color w:val="000000"/>
                <w:sz w:val="18"/>
                <w:szCs w:val="18"/>
                <w:lang w:val="ru-RU" w:eastAsia="ru-RU"/>
              </w:rPr>
              <w:t>and</w:t>
            </w:r>
            <w:proofErr w:type="spellEnd"/>
            <w:r>
              <w:rPr>
                <w:color w:val="000000"/>
                <w:sz w:val="18"/>
                <w:szCs w:val="18"/>
                <w:lang w:val="ru-RU" w:eastAsia="ru-RU"/>
              </w:rPr>
              <w:t xml:space="preserve"> </w:t>
            </w:r>
            <w:proofErr w:type="spellStart"/>
            <w:r>
              <w:rPr>
                <w:color w:val="000000"/>
                <w:sz w:val="18"/>
                <w:szCs w:val="18"/>
                <w:lang w:val="ru-RU" w:eastAsia="ru-RU"/>
              </w:rPr>
              <w:t>restoration</w:t>
            </w:r>
            <w:proofErr w:type="spellEnd"/>
            <w:r>
              <w:rPr>
                <w:color w:val="000000"/>
                <w:sz w:val="18"/>
                <w:szCs w:val="18"/>
                <w:lang w:val="ru-RU" w:eastAsia="ru-RU"/>
              </w:rPr>
              <w:t xml:space="preserve"> </w:t>
            </w:r>
            <w:proofErr w:type="spellStart"/>
            <w:r>
              <w:rPr>
                <w:color w:val="000000"/>
                <w:sz w:val="18"/>
                <w:szCs w:val="18"/>
                <w:lang w:val="ru-RU" w:eastAsia="ru-RU"/>
              </w:rPr>
              <w:t>activities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en-US" w:eastAsia="ru-RU"/>
              </w:rPr>
            </w:pPr>
            <w:r>
              <w:rPr>
                <w:color w:val="000000"/>
                <w:sz w:val="18"/>
                <w:szCs w:val="18"/>
                <w:lang w:val="ru-RU" w:eastAsia="ru-RU"/>
              </w:rPr>
              <w:t>15 18</w:t>
            </w:r>
            <w:r>
              <w:rPr>
                <w:color w:val="000000"/>
                <w:sz w:val="18"/>
                <w:szCs w:val="18"/>
                <w:lang w:val="en-US" w:eastAsia="ru-RU"/>
              </w:rPr>
              <w:t>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en-US" w:eastAsia="ru-RU"/>
              </w:rPr>
            </w:pPr>
            <w:r>
              <w:rPr>
                <w:color w:val="000000"/>
                <w:sz w:val="18"/>
                <w:szCs w:val="18"/>
                <w:lang w:val="en-US"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en-US" w:eastAsia="ru-RU"/>
              </w:rPr>
            </w:pPr>
            <w:r>
              <w:rPr>
                <w:color w:val="000000"/>
                <w:sz w:val="18"/>
                <w:szCs w:val="18"/>
                <w:lang w:val="ru-RU" w:eastAsia="ru-RU"/>
              </w:rPr>
              <w:t>15 184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C36813" w:rsidRDefault="00C3681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7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10</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3F76F9" w:rsidP="00E743BF">
            <w:pPr>
              <w:jc w:val="center"/>
              <w:rPr>
                <w:color w:val="000000"/>
                <w:sz w:val="18"/>
                <w:szCs w:val="18"/>
                <w:lang w:val="ru-RU" w:eastAsia="ru-RU"/>
              </w:rPr>
            </w:pPr>
            <w:r>
              <w:rPr>
                <w:color w:val="000000"/>
                <w:sz w:val="18"/>
                <w:szCs w:val="18"/>
                <w:lang w:val="ru-RU" w:eastAsia="ru-RU"/>
              </w:rPr>
              <w:t>FGC UES</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403AC9" w:rsidRDefault="00403AC9" w:rsidP="00E743BF">
            <w:pPr>
              <w:jc w:val="center"/>
              <w:rPr>
                <w:color w:val="000000"/>
                <w:sz w:val="18"/>
                <w:szCs w:val="18"/>
                <w:lang w:val="en-US" w:eastAsia="ru-RU"/>
              </w:rPr>
            </w:pPr>
            <w:r w:rsidRPr="00403AC9">
              <w:rPr>
                <w:color w:val="000000"/>
                <w:sz w:val="18"/>
                <w:szCs w:val="18"/>
                <w:lang w:val="en-US" w:eastAsia="ru-RU"/>
              </w:rPr>
              <w:t>operational maintenance of electric equipment</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1 026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1 026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3F76F9" w:rsidP="00E743BF">
            <w:pPr>
              <w:jc w:val="center"/>
              <w:rPr>
                <w:color w:val="000000"/>
                <w:sz w:val="18"/>
                <w:szCs w:val="18"/>
                <w:lang w:val="ru-RU" w:eastAsia="ru-RU"/>
              </w:rPr>
            </w:pPr>
            <w:r>
              <w:rPr>
                <w:color w:val="000000"/>
                <w:sz w:val="18"/>
                <w:szCs w:val="18"/>
                <w:lang w:val="ru-RU" w:eastAsia="ru-RU"/>
              </w:rPr>
              <w:t>FGC UES</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2F208C" w:rsidP="00E743BF">
            <w:pPr>
              <w:jc w:val="center"/>
              <w:rPr>
                <w:color w:val="000000"/>
                <w:sz w:val="18"/>
                <w:szCs w:val="18"/>
                <w:lang w:val="ru-RU" w:eastAsia="ru-RU"/>
              </w:rPr>
            </w:pPr>
            <w:proofErr w:type="spellStart"/>
            <w:r>
              <w:rPr>
                <w:color w:val="000000"/>
                <w:sz w:val="18"/>
                <w:szCs w:val="18"/>
                <w:lang w:val="ru-RU" w:eastAsia="ru-RU"/>
              </w:rPr>
              <w:t>grid</w:t>
            </w:r>
            <w:proofErr w:type="spellEnd"/>
            <w:r>
              <w:rPr>
                <w:color w:val="000000"/>
                <w:sz w:val="18"/>
                <w:szCs w:val="18"/>
                <w:lang w:val="ru-RU" w:eastAsia="ru-RU"/>
              </w:rPr>
              <w:t xml:space="preserve"> </w:t>
            </w:r>
            <w:proofErr w:type="spellStart"/>
            <w:r>
              <w:rPr>
                <w:color w:val="000000"/>
                <w:sz w:val="18"/>
                <w:szCs w:val="18"/>
                <w:lang w:val="ru-RU" w:eastAsia="ru-RU"/>
              </w:rPr>
              <w:t>connection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en-US" w:eastAsia="ru-RU"/>
              </w:rPr>
              <w:t>(1)</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12</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3F76F9" w:rsidP="00E743BF">
            <w:pPr>
              <w:jc w:val="center"/>
              <w:rPr>
                <w:color w:val="000000"/>
                <w:sz w:val="18"/>
                <w:szCs w:val="18"/>
                <w:lang w:val="ru-RU" w:eastAsia="ru-RU"/>
              </w:rPr>
            </w:pPr>
            <w:r>
              <w:rPr>
                <w:color w:val="000000"/>
                <w:sz w:val="18"/>
                <w:szCs w:val="18"/>
                <w:lang w:val="ru-RU" w:eastAsia="ru-RU"/>
              </w:rPr>
              <w:t>FGC UES</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B66ADC" w:rsidP="00F96CAB">
            <w:pPr>
              <w:jc w:val="center"/>
              <w:rPr>
                <w:color w:val="000000"/>
                <w:sz w:val="18"/>
                <w:szCs w:val="18"/>
                <w:lang w:val="ru-RU" w:eastAsia="ru-RU"/>
              </w:rPr>
            </w:pPr>
            <w:proofErr w:type="spellStart"/>
            <w:r>
              <w:rPr>
                <w:color w:val="000000"/>
                <w:sz w:val="18"/>
                <w:szCs w:val="18"/>
                <w:lang w:val="ru-RU" w:eastAsia="ru-RU"/>
              </w:rPr>
              <w:t>other</w:t>
            </w:r>
            <w:proofErr w:type="spellEnd"/>
            <w:r>
              <w:rPr>
                <w:color w:val="000000"/>
                <w:sz w:val="18"/>
                <w:szCs w:val="18"/>
                <w:lang w:val="ru-RU" w:eastAsia="ru-RU"/>
              </w:rPr>
              <w:t xml:space="preserve"> </w:t>
            </w:r>
            <w:proofErr w:type="spellStart"/>
            <w:r>
              <w:rPr>
                <w:color w:val="000000"/>
                <w:sz w:val="18"/>
                <w:szCs w:val="18"/>
                <w:lang w:val="ru-RU" w:eastAsia="ru-RU"/>
              </w:rPr>
              <w:t>settlements</w:t>
            </w:r>
            <w:proofErr w:type="spellEnd"/>
            <w:r w:rsidR="00DD73F3">
              <w:rPr>
                <w:color w:val="000000"/>
                <w:sz w:val="18"/>
                <w:szCs w:val="18"/>
                <w:lang w:val="ru-RU" w:eastAsia="ru-RU"/>
              </w:rPr>
              <w:t xml:space="preserve"> (</w:t>
            </w:r>
            <w:r w:rsidR="00F96CAB">
              <w:rPr>
                <w:color w:val="000000"/>
                <w:sz w:val="18"/>
                <w:szCs w:val="18"/>
                <w:lang w:val="en-US" w:eastAsia="ru-RU"/>
              </w:rPr>
              <w:t>shares</w:t>
            </w:r>
            <w:r w:rsidR="00DD73F3">
              <w:rPr>
                <w:color w:val="000000"/>
                <w:sz w:val="18"/>
                <w:szCs w:val="18"/>
                <w:lang w:val="ru-RU" w:eastAsia="ru-RU"/>
              </w:rPr>
              <w:t>)</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2 793</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4 35</w:t>
            </w:r>
            <w:r>
              <w:rPr>
                <w:color w:val="000000"/>
                <w:sz w:val="18"/>
                <w:szCs w:val="18"/>
                <w:lang w:val="en-US" w:eastAsia="ru-RU"/>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65</w:t>
            </w:r>
            <w:r>
              <w:rPr>
                <w:color w:val="000000"/>
                <w:sz w:val="18"/>
                <w:szCs w:val="18"/>
                <w:lang w:val="en-US" w:eastAsia="ru-RU"/>
              </w:rPr>
              <w:t>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6 492</w:t>
            </w:r>
          </w:p>
        </w:tc>
      </w:tr>
      <w:tr w:rsidR="00DD73F3" w:rsidTr="00456802">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13</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3F76F9" w:rsidP="00E743BF">
            <w:pPr>
              <w:jc w:val="center"/>
              <w:rPr>
                <w:color w:val="000000"/>
                <w:sz w:val="18"/>
                <w:szCs w:val="18"/>
                <w:lang w:val="ru-RU" w:eastAsia="ru-RU"/>
              </w:rPr>
            </w:pPr>
            <w:r>
              <w:rPr>
                <w:color w:val="000000"/>
                <w:sz w:val="18"/>
                <w:szCs w:val="18"/>
                <w:lang w:val="ru-RU" w:eastAsia="ru-RU"/>
              </w:rPr>
              <w:t>FGC UES</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466444" w:rsidRDefault="00B66ADC" w:rsidP="00E743BF">
            <w:pPr>
              <w:jc w:val="center"/>
              <w:rPr>
                <w:color w:val="000000"/>
                <w:sz w:val="18"/>
                <w:szCs w:val="18"/>
                <w:lang w:val="en-US" w:eastAsia="ru-RU"/>
              </w:rPr>
            </w:pPr>
            <w:r w:rsidRPr="00466444">
              <w:rPr>
                <w:color w:val="000000"/>
                <w:sz w:val="18"/>
                <w:szCs w:val="18"/>
                <w:lang w:val="en-US" w:eastAsia="ru-RU"/>
              </w:rPr>
              <w:t>other settlements</w:t>
            </w:r>
            <w:r w:rsidR="00DD73F3" w:rsidRPr="00466444">
              <w:rPr>
                <w:color w:val="000000"/>
                <w:sz w:val="18"/>
                <w:szCs w:val="18"/>
                <w:lang w:val="en-US" w:eastAsia="ru-RU"/>
              </w:rPr>
              <w:t xml:space="preserve"> (</w:t>
            </w:r>
            <w:r w:rsidR="001A1FB7" w:rsidRPr="00270AAB">
              <w:rPr>
                <w:color w:val="000000"/>
                <w:sz w:val="18"/>
                <w:szCs w:val="18"/>
                <w:lang w:val="en-US" w:eastAsia="ru-RU"/>
              </w:rPr>
              <w:t>compensation for breach of property rights</w:t>
            </w:r>
            <w:r w:rsidR="00DD73F3" w:rsidRPr="00466444">
              <w:rPr>
                <w:color w:val="000000"/>
                <w:sz w:val="18"/>
                <w:szCs w:val="18"/>
                <w:lang w:val="en-US" w:eastAsia="ru-RU"/>
              </w:rPr>
              <w:t>)</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w:t>
            </w:r>
            <w:r>
              <w:rPr>
                <w:color w:val="000000"/>
                <w:sz w:val="18"/>
                <w:szCs w:val="18"/>
                <w:lang w:val="ru-RU" w:eastAsia="ru-RU"/>
              </w:rPr>
              <w:t>167 010</w:t>
            </w:r>
            <w:r>
              <w:rPr>
                <w:color w:val="000000"/>
                <w:sz w:val="18"/>
                <w:szCs w:val="18"/>
                <w:lang w:val="en-US"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EA15E7" w:rsidP="00456802">
            <w:pPr>
              <w:jc w:val="right"/>
              <w:rPr>
                <w:color w:val="000000"/>
                <w:sz w:val="18"/>
                <w:szCs w:val="18"/>
                <w:lang w:val="ru-RU" w:eastAsia="ru-RU"/>
              </w:rPr>
            </w:pPr>
            <w:r>
              <w:rPr>
                <w:color w:val="000000"/>
                <w:sz w:val="18"/>
                <w:szCs w:val="18"/>
                <w:lang w:val="ru-RU" w:eastAsia="ru-RU"/>
              </w:rPr>
              <w:t>(</w:t>
            </w:r>
            <w:r w:rsidR="00DD73F3">
              <w:rPr>
                <w:color w:val="000000"/>
                <w:sz w:val="18"/>
                <w:szCs w:val="18"/>
                <w:lang w:val="ru-RU" w:eastAsia="ru-RU"/>
              </w:rPr>
              <w:t>167 010</w:t>
            </w:r>
            <w:r>
              <w:rPr>
                <w:color w:val="000000"/>
                <w:sz w:val="18"/>
                <w:szCs w:val="18"/>
                <w:lang w:val="ru-RU" w:eastAsia="ru-RU"/>
              </w:rPr>
              <w:t>)</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14</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3F76F9" w:rsidP="00E743BF">
            <w:pPr>
              <w:jc w:val="center"/>
              <w:rPr>
                <w:color w:val="000000"/>
                <w:sz w:val="18"/>
                <w:szCs w:val="18"/>
                <w:lang w:val="ru-RU" w:eastAsia="ru-RU"/>
              </w:rPr>
            </w:pPr>
            <w:r>
              <w:rPr>
                <w:color w:val="000000"/>
                <w:sz w:val="18"/>
                <w:szCs w:val="18"/>
                <w:lang w:val="ru-RU" w:eastAsia="ru-RU"/>
              </w:rPr>
              <w:t>FGC UES</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B66ADC" w:rsidP="002F208C">
            <w:pPr>
              <w:jc w:val="center"/>
              <w:rPr>
                <w:color w:val="000000"/>
                <w:sz w:val="18"/>
                <w:szCs w:val="18"/>
                <w:lang w:val="ru-RU" w:eastAsia="ru-RU"/>
              </w:rPr>
            </w:pPr>
            <w:proofErr w:type="spellStart"/>
            <w:r>
              <w:rPr>
                <w:color w:val="000000"/>
                <w:sz w:val="18"/>
                <w:szCs w:val="18"/>
                <w:lang w:val="ru-RU" w:eastAsia="ru-RU"/>
              </w:rPr>
              <w:t>other</w:t>
            </w:r>
            <w:proofErr w:type="spellEnd"/>
            <w:r>
              <w:rPr>
                <w:color w:val="000000"/>
                <w:sz w:val="18"/>
                <w:szCs w:val="18"/>
                <w:lang w:val="ru-RU" w:eastAsia="ru-RU"/>
              </w:rPr>
              <w:t xml:space="preserve"> </w:t>
            </w:r>
            <w:proofErr w:type="spellStart"/>
            <w:r>
              <w:rPr>
                <w:color w:val="000000"/>
                <w:sz w:val="18"/>
                <w:szCs w:val="18"/>
                <w:lang w:val="ru-RU" w:eastAsia="ru-RU"/>
              </w:rPr>
              <w:t>settlements</w:t>
            </w:r>
            <w:proofErr w:type="spellEnd"/>
            <w:r w:rsidR="00DD73F3">
              <w:rPr>
                <w:color w:val="000000"/>
                <w:sz w:val="18"/>
                <w:szCs w:val="18"/>
                <w:lang w:val="ru-RU" w:eastAsia="ru-RU"/>
              </w:rPr>
              <w:t xml:space="preserve"> (</w:t>
            </w:r>
            <w:r w:rsidR="002F208C">
              <w:rPr>
                <w:color w:val="000000"/>
                <w:sz w:val="18"/>
                <w:szCs w:val="18"/>
                <w:lang w:val="en-US" w:eastAsia="ru-RU"/>
              </w:rPr>
              <w:t>dividends</w:t>
            </w:r>
            <w:r w:rsidR="00DD73F3">
              <w:rPr>
                <w:color w:val="000000"/>
                <w:sz w:val="18"/>
                <w:szCs w:val="18"/>
                <w:lang w:val="ru-RU" w:eastAsia="ru-RU"/>
              </w:rPr>
              <w:t>)</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3F76F9" w:rsidP="00E743BF">
            <w:pPr>
              <w:jc w:val="center"/>
              <w:rPr>
                <w:color w:val="000000"/>
                <w:sz w:val="18"/>
                <w:szCs w:val="18"/>
                <w:lang w:val="ru-RU" w:eastAsia="ru-RU"/>
              </w:rPr>
            </w:pPr>
            <w:r>
              <w:rPr>
                <w:color w:val="000000"/>
                <w:sz w:val="18"/>
                <w:szCs w:val="18"/>
                <w:lang w:val="ru-RU" w:eastAsia="ru-RU"/>
              </w:rPr>
              <w:t>FGC UES</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2F208C" w:rsidP="002F208C">
            <w:pPr>
              <w:jc w:val="center"/>
              <w:rPr>
                <w:color w:val="000000"/>
                <w:sz w:val="18"/>
                <w:szCs w:val="18"/>
                <w:lang w:val="ru-RU" w:eastAsia="ru-RU"/>
              </w:rPr>
            </w:pPr>
            <w:r>
              <w:rPr>
                <w:color w:val="000000"/>
                <w:sz w:val="18"/>
                <w:szCs w:val="18"/>
                <w:lang w:val="en-US" w:eastAsia="ru-RU"/>
              </w:rPr>
              <w:t xml:space="preserve">electric energy sale </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3</w:t>
            </w:r>
            <w:r>
              <w:rPr>
                <w:color w:val="000000"/>
                <w:sz w:val="18"/>
                <w:szCs w:val="18"/>
                <w:lang w:val="en-US" w:eastAsia="ru-RU"/>
              </w:rPr>
              <w:t>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55</w:t>
            </w:r>
            <w:r>
              <w:rPr>
                <w:color w:val="000000"/>
                <w:sz w:val="18"/>
                <w:szCs w:val="18"/>
                <w:lang w:val="en-US" w:eastAsia="ru-RU"/>
              </w:rPr>
              <w:t>8</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59</w:t>
            </w:r>
            <w:r>
              <w:rPr>
                <w:color w:val="000000"/>
                <w:sz w:val="18"/>
                <w:szCs w:val="18"/>
                <w:lang w:val="en-US" w:eastAsia="ru-RU"/>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w:t>
            </w:r>
          </w:p>
        </w:tc>
      </w:tr>
      <w:tr w:rsidR="00DD73F3" w:rsidTr="00456802">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8B651E" w:rsidP="00E743BF">
            <w:pPr>
              <w:jc w:val="center"/>
              <w:rPr>
                <w:color w:val="000000"/>
                <w:sz w:val="18"/>
                <w:szCs w:val="18"/>
                <w:lang w:val="ru-RU" w:eastAsia="ru-RU"/>
              </w:rPr>
            </w:pPr>
            <w:r w:rsidRPr="008B651E">
              <w:rPr>
                <w:color w:val="000000"/>
                <w:sz w:val="18"/>
                <w:szCs w:val="18"/>
                <w:lang w:val="ru-RU" w:eastAsia="ru-RU"/>
              </w:rPr>
              <w:t>OJSC «</w:t>
            </w:r>
            <w:proofErr w:type="spellStart"/>
            <w:r w:rsidRPr="008B651E">
              <w:rPr>
                <w:color w:val="000000"/>
                <w:sz w:val="18"/>
                <w:szCs w:val="18"/>
                <w:lang w:val="ru-RU" w:eastAsia="ru-RU"/>
              </w:rPr>
              <w:t>FOCL-Conductor</w:t>
            </w:r>
            <w:proofErr w:type="spellEnd"/>
            <w:r w:rsidRPr="008B651E">
              <w:rPr>
                <w:color w:val="000000"/>
                <w:sz w:val="18"/>
                <w:szCs w:val="18"/>
                <w:lang w:val="ru-RU" w:eastAsia="ru-RU"/>
              </w:rPr>
              <w:t xml:space="preserve"> </w:t>
            </w:r>
            <w:proofErr w:type="spellStart"/>
            <w:r w:rsidRPr="008B651E">
              <w:rPr>
                <w:color w:val="000000"/>
                <w:sz w:val="18"/>
                <w:szCs w:val="18"/>
                <w:lang w:val="ru-RU" w:eastAsia="ru-RU"/>
              </w:rPr>
              <w:t>Administration</w:t>
            </w:r>
            <w:proofErr w:type="spellEnd"/>
            <w:r w:rsidRPr="008B651E">
              <w:rPr>
                <w:color w:val="000000"/>
                <w:sz w:val="18"/>
                <w:szCs w:val="18"/>
                <w:lang w:val="ru-RU" w:eastAsia="ru-RU"/>
              </w:rPr>
              <w:t>»</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2F208C" w:rsidRDefault="002F208C" w:rsidP="00E743BF">
            <w:pPr>
              <w:jc w:val="center"/>
              <w:rPr>
                <w:color w:val="000000"/>
                <w:sz w:val="18"/>
                <w:szCs w:val="18"/>
                <w:lang w:val="en-US" w:eastAsia="ru-RU"/>
              </w:rPr>
            </w:pPr>
            <w:proofErr w:type="spellStart"/>
            <w:r>
              <w:rPr>
                <w:color w:val="000000"/>
                <w:sz w:val="18"/>
                <w:szCs w:val="18"/>
                <w:lang w:val="ru-RU" w:eastAsia="ru-RU"/>
              </w:rPr>
              <w:t>grid</w:t>
            </w:r>
            <w:proofErr w:type="spellEnd"/>
            <w:r>
              <w:rPr>
                <w:color w:val="000000"/>
                <w:sz w:val="18"/>
                <w:szCs w:val="18"/>
                <w:lang w:val="ru-RU" w:eastAsia="ru-RU"/>
              </w:rPr>
              <w:t xml:space="preserve"> </w:t>
            </w:r>
            <w:proofErr w:type="spellStart"/>
            <w:r>
              <w:rPr>
                <w:color w:val="000000"/>
                <w:sz w:val="18"/>
                <w:szCs w:val="18"/>
                <w:lang w:val="ru-RU" w:eastAsia="ru-RU"/>
              </w:rPr>
              <w:t>connection</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(1)</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17</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8B651E" w:rsidP="00E743BF">
            <w:pPr>
              <w:jc w:val="center"/>
              <w:rPr>
                <w:color w:val="000000"/>
                <w:sz w:val="18"/>
                <w:szCs w:val="18"/>
                <w:lang w:val="ru-RU" w:eastAsia="ru-RU"/>
              </w:rPr>
            </w:pPr>
            <w:r w:rsidRPr="008B651E">
              <w:rPr>
                <w:color w:val="000000"/>
                <w:sz w:val="18"/>
                <w:szCs w:val="18"/>
                <w:lang w:val="ru-RU" w:eastAsia="ru-RU"/>
              </w:rPr>
              <w:t>OJSC «</w:t>
            </w:r>
            <w:proofErr w:type="spellStart"/>
            <w:r w:rsidRPr="008B651E">
              <w:rPr>
                <w:color w:val="000000"/>
                <w:sz w:val="18"/>
                <w:szCs w:val="18"/>
                <w:lang w:val="ru-RU" w:eastAsia="ru-RU"/>
              </w:rPr>
              <w:t>FOCL-Conductor</w:t>
            </w:r>
            <w:proofErr w:type="spellEnd"/>
            <w:r w:rsidRPr="008B651E">
              <w:rPr>
                <w:color w:val="000000"/>
                <w:sz w:val="18"/>
                <w:szCs w:val="18"/>
                <w:lang w:val="ru-RU" w:eastAsia="ru-RU"/>
              </w:rPr>
              <w:t xml:space="preserve"> </w:t>
            </w:r>
            <w:proofErr w:type="spellStart"/>
            <w:r w:rsidRPr="008B651E">
              <w:rPr>
                <w:color w:val="000000"/>
                <w:sz w:val="18"/>
                <w:szCs w:val="18"/>
                <w:lang w:val="ru-RU" w:eastAsia="ru-RU"/>
              </w:rPr>
              <w:t>Administration</w:t>
            </w:r>
            <w:proofErr w:type="spellEnd"/>
            <w:r w:rsidRPr="008B651E">
              <w:rPr>
                <w:color w:val="000000"/>
                <w:sz w:val="18"/>
                <w:szCs w:val="18"/>
                <w:lang w:val="ru-RU" w:eastAsia="ru-RU"/>
              </w:rPr>
              <w:t>»</w:t>
            </w:r>
            <w:r w:rsidR="00DD73F3">
              <w:rPr>
                <w:color w:val="000000"/>
                <w:sz w:val="18"/>
                <w:szCs w:val="18"/>
                <w:vertAlign w:val="superscript"/>
                <w:lang w:val="ru-RU" w:eastAsia="ru-RU"/>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92281D" w:rsidRDefault="0092281D" w:rsidP="0092281D">
            <w:pPr>
              <w:jc w:val="center"/>
              <w:rPr>
                <w:color w:val="000000"/>
                <w:sz w:val="18"/>
                <w:szCs w:val="18"/>
                <w:lang w:val="en-US" w:eastAsia="ru-RU"/>
              </w:rPr>
            </w:pPr>
            <w:r>
              <w:rPr>
                <w:color w:val="000000"/>
                <w:sz w:val="18"/>
                <w:szCs w:val="18"/>
                <w:lang w:val="en-US" w:eastAsia="ru-RU"/>
              </w:rPr>
              <w:t xml:space="preserve">metering device installation </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18</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Pr="00A412C9" w:rsidRDefault="00DD73F3" w:rsidP="00E743BF">
            <w:pPr>
              <w:jc w:val="center"/>
              <w:rPr>
                <w:color w:val="000000"/>
                <w:sz w:val="18"/>
                <w:szCs w:val="18"/>
                <w:lang w:val="en-US" w:eastAsia="ru-RU"/>
              </w:rPr>
            </w:pPr>
            <w:r w:rsidRPr="00A412C9">
              <w:rPr>
                <w:color w:val="000000"/>
                <w:sz w:val="18"/>
                <w:szCs w:val="18"/>
                <w:lang w:val="en-US" w:eastAsia="ru-RU"/>
              </w:rPr>
              <w:t xml:space="preserve">% </w:t>
            </w:r>
            <w:r w:rsidR="00A412C9" w:rsidRPr="00270AAB">
              <w:rPr>
                <w:color w:val="000000"/>
                <w:sz w:val="18"/>
                <w:szCs w:val="18"/>
                <w:lang w:val="en-US" w:eastAsia="ru-RU"/>
              </w:rPr>
              <w:t>on the loan of monetary funds</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3 56</w:t>
            </w:r>
            <w:r>
              <w:rPr>
                <w:color w:val="000000"/>
                <w:sz w:val="18"/>
                <w:szCs w:val="18"/>
                <w:lang w:val="en-US" w:eastAsia="ru-RU"/>
              </w:rPr>
              <w:t>2</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11 554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12 91</w:t>
            </w:r>
            <w:r>
              <w:rPr>
                <w:color w:val="000000"/>
                <w:sz w:val="18"/>
                <w:szCs w:val="18"/>
                <w:lang w:val="en-US" w:eastAsia="ru-RU"/>
              </w:rPr>
              <w:t>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2 199</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19</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D8731A" w:rsidRDefault="00D8731A" w:rsidP="00E743BF">
            <w:pPr>
              <w:jc w:val="center"/>
              <w:rPr>
                <w:color w:val="000000"/>
                <w:sz w:val="18"/>
                <w:szCs w:val="18"/>
                <w:lang w:val="en-US" w:eastAsia="ru-RU"/>
              </w:rPr>
            </w:pPr>
            <w:r w:rsidRPr="00270AAB">
              <w:rPr>
                <w:color w:val="000000"/>
                <w:sz w:val="18"/>
                <w:szCs w:val="18"/>
                <w:lang w:val="en-US" w:eastAsia="ru-RU"/>
              </w:rPr>
              <w:t>service of providing the loan of monetary funds</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157 000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65 000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92 000</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20</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466444" w:rsidP="00E743BF">
            <w:pPr>
              <w:jc w:val="center"/>
              <w:rPr>
                <w:color w:val="000000"/>
                <w:sz w:val="18"/>
                <w:szCs w:val="18"/>
                <w:lang w:val="ru-RU" w:eastAsia="ru-RU"/>
              </w:rPr>
            </w:pPr>
            <w:proofErr w:type="spellStart"/>
            <w:r w:rsidRPr="00466444">
              <w:rPr>
                <w:color w:val="000000"/>
                <w:sz w:val="18"/>
                <w:szCs w:val="18"/>
                <w:lang w:val="ru-RU" w:eastAsia="ru-RU"/>
              </w:rPr>
              <w:t>dividends</w:t>
            </w:r>
            <w:proofErr w:type="spellEnd"/>
            <w:r w:rsidRPr="00466444">
              <w:rPr>
                <w:color w:val="000000"/>
                <w:sz w:val="18"/>
                <w:szCs w:val="18"/>
                <w:lang w:val="ru-RU" w:eastAsia="ru-RU"/>
              </w:rPr>
              <w:t xml:space="preserve"> </w:t>
            </w:r>
            <w:proofErr w:type="spellStart"/>
            <w:r w:rsidRPr="00466444">
              <w:rPr>
                <w:color w:val="000000"/>
                <w:sz w:val="18"/>
                <w:szCs w:val="18"/>
                <w:lang w:val="ru-RU" w:eastAsia="ru-RU"/>
              </w:rPr>
              <w:t>on</w:t>
            </w:r>
            <w:proofErr w:type="spellEnd"/>
            <w:r w:rsidRPr="00466444">
              <w:rPr>
                <w:color w:val="000000"/>
                <w:sz w:val="18"/>
                <w:szCs w:val="18"/>
                <w:lang w:val="ru-RU" w:eastAsia="ru-RU"/>
              </w:rPr>
              <w:t xml:space="preserve"> </w:t>
            </w:r>
            <w:proofErr w:type="spellStart"/>
            <w:r w:rsidRPr="00466444">
              <w:rPr>
                <w:color w:val="000000"/>
                <w:sz w:val="18"/>
                <w:szCs w:val="18"/>
                <w:lang w:val="ru-RU" w:eastAsia="ru-RU"/>
              </w:rPr>
              <w:t>shares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13 697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13 697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B66ADC" w:rsidP="00E743BF">
            <w:pPr>
              <w:jc w:val="center"/>
              <w:rPr>
                <w:color w:val="000000"/>
                <w:sz w:val="18"/>
                <w:szCs w:val="18"/>
                <w:lang w:val="ru-RU" w:eastAsia="ru-RU"/>
              </w:rPr>
            </w:pPr>
            <w:proofErr w:type="spellStart"/>
            <w:r>
              <w:rPr>
                <w:color w:val="000000"/>
                <w:sz w:val="18"/>
                <w:szCs w:val="18"/>
                <w:lang w:val="ru-RU" w:eastAsia="ru-RU"/>
              </w:rPr>
              <w:t>other</w:t>
            </w:r>
            <w:proofErr w:type="spellEnd"/>
            <w:r>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2 204 230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2 204 230</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22</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2F208C" w:rsidP="00E743BF">
            <w:pPr>
              <w:jc w:val="center"/>
              <w:rPr>
                <w:color w:val="000000"/>
                <w:sz w:val="18"/>
                <w:szCs w:val="18"/>
                <w:lang w:val="ru-RU" w:eastAsia="ru-RU"/>
              </w:rPr>
            </w:pPr>
            <w:proofErr w:type="spellStart"/>
            <w:r>
              <w:rPr>
                <w:color w:val="000000"/>
                <w:sz w:val="18"/>
                <w:szCs w:val="18"/>
                <w:lang w:val="ru-RU" w:eastAsia="ru-RU"/>
              </w:rPr>
              <w:t>grid</w:t>
            </w:r>
            <w:proofErr w:type="spellEnd"/>
            <w:r>
              <w:rPr>
                <w:color w:val="000000"/>
                <w:sz w:val="18"/>
                <w:szCs w:val="18"/>
                <w:lang w:val="ru-RU" w:eastAsia="ru-RU"/>
              </w:rPr>
              <w:t xml:space="preserve"> </w:t>
            </w:r>
            <w:proofErr w:type="spellStart"/>
            <w:r>
              <w:rPr>
                <w:color w:val="000000"/>
                <w:sz w:val="18"/>
                <w:szCs w:val="18"/>
                <w:lang w:val="ru-RU" w:eastAsia="ru-RU"/>
              </w:rPr>
              <w:t>connection</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7 15</w:t>
            </w:r>
            <w:r>
              <w:rPr>
                <w:color w:val="000000"/>
                <w:sz w:val="18"/>
                <w:szCs w:val="18"/>
                <w:lang w:val="en-US" w:eastAsia="ru-RU"/>
              </w:rPr>
              <w:t>7</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327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5 </w:t>
            </w:r>
            <w:r>
              <w:rPr>
                <w:color w:val="000000"/>
                <w:sz w:val="18"/>
                <w:szCs w:val="18"/>
                <w:lang w:val="en-US" w:eastAsia="ru-RU"/>
              </w:rPr>
              <w:t>004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2 47</w:t>
            </w:r>
            <w:r>
              <w:rPr>
                <w:color w:val="000000"/>
                <w:sz w:val="18"/>
                <w:szCs w:val="18"/>
                <w:lang w:val="en-US" w:eastAsia="ru-RU"/>
              </w:rPr>
              <w:t>9</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23</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4D4114" w:rsidP="00E743BF">
            <w:pPr>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43 753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40 00</w:t>
            </w:r>
            <w:r>
              <w:rPr>
                <w:color w:val="000000"/>
                <w:sz w:val="18"/>
                <w:szCs w:val="18"/>
                <w:lang w:val="en-US" w:eastAsia="ru-RU"/>
              </w:rPr>
              <w:t>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3 744</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24</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Yargorelectroset</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4D4114" w:rsidP="00E743BF">
            <w:pPr>
              <w:jc w:val="center"/>
              <w:rPr>
                <w:color w:val="000000"/>
                <w:sz w:val="18"/>
                <w:szCs w:val="18"/>
                <w:lang w:val="ru-RU" w:eastAsia="ru-RU"/>
              </w:rPr>
            </w:pPr>
            <w:proofErr w:type="spellStart"/>
            <w:r>
              <w:rPr>
                <w:color w:val="000000"/>
                <w:sz w:val="18"/>
                <w:szCs w:val="18"/>
                <w:lang w:val="ru-RU" w:eastAsia="ru-RU"/>
              </w:rPr>
              <w:t>treasury</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550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50</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Pr="004D4114" w:rsidRDefault="00DD73F3" w:rsidP="00E743BF">
            <w:pPr>
              <w:jc w:val="center"/>
              <w:rPr>
                <w:color w:val="000000"/>
                <w:sz w:val="18"/>
                <w:szCs w:val="18"/>
                <w:lang w:val="en-US" w:eastAsia="ru-RU"/>
              </w:rPr>
            </w:pPr>
            <w:r w:rsidRPr="004D4114">
              <w:rPr>
                <w:color w:val="000000"/>
                <w:sz w:val="18"/>
                <w:szCs w:val="18"/>
                <w:lang w:val="en-US" w:eastAsia="ru-RU"/>
              </w:rPr>
              <w:t xml:space="preserve">% </w:t>
            </w:r>
            <w:r w:rsidR="004D4114" w:rsidRPr="00270AAB">
              <w:rPr>
                <w:color w:val="000000"/>
                <w:sz w:val="18"/>
                <w:szCs w:val="18"/>
                <w:lang w:val="en-US" w:eastAsia="ru-RU"/>
              </w:rPr>
              <w:t>on the loan of monetary funds</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14 461</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6 611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21 072</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Pr="004D4114" w:rsidRDefault="004D4114" w:rsidP="00E743BF">
            <w:pPr>
              <w:jc w:val="center"/>
              <w:rPr>
                <w:color w:val="000000"/>
                <w:sz w:val="18"/>
                <w:szCs w:val="18"/>
                <w:lang w:val="en-US" w:eastAsia="ru-RU"/>
              </w:rPr>
            </w:pPr>
            <w:r>
              <w:rPr>
                <w:color w:val="000000"/>
                <w:sz w:val="18"/>
                <w:szCs w:val="18"/>
                <w:lang w:val="en-US" w:eastAsia="ru-RU"/>
              </w:rPr>
              <w:t>state duty</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5</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27</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4D4114" w:rsidRDefault="004D4114" w:rsidP="00E743BF">
            <w:pPr>
              <w:jc w:val="center"/>
              <w:rPr>
                <w:color w:val="000000"/>
                <w:sz w:val="18"/>
                <w:szCs w:val="18"/>
                <w:lang w:val="en-US" w:eastAsia="ru-RU"/>
              </w:rPr>
            </w:pPr>
            <w:r w:rsidRPr="00270AAB">
              <w:rPr>
                <w:color w:val="000000"/>
                <w:sz w:val="18"/>
                <w:szCs w:val="18"/>
                <w:lang w:val="en-US" w:eastAsia="ru-RU"/>
              </w:rPr>
              <w:t>service of providing the loan of monetary funds</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161 600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161 600</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28</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B66ADC" w:rsidP="00E743BF">
            <w:pPr>
              <w:jc w:val="center"/>
              <w:rPr>
                <w:color w:val="000000"/>
                <w:sz w:val="18"/>
                <w:szCs w:val="18"/>
                <w:lang w:val="ru-RU" w:eastAsia="ru-RU"/>
              </w:rPr>
            </w:pPr>
            <w:proofErr w:type="spellStart"/>
            <w:r>
              <w:rPr>
                <w:color w:val="000000"/>
                <w:sz w:val="18"/>
                <w:szCs w:val="18"/>
                <w:lang w:val="ru-RU" w:eastAsia="ru-RU"/>
              </w:rPr>
              <w:t>other</w:t>
            </w:r>
            <w:proofErr w:type="spellEnd"/>
            <w:r>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100</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29</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412C9"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r>
              <w:rPr>
                <w:color w:val="000000"/>
                <w:sz w:val="18"/>
                <w:szCs w:val="18"/>
                <w:lang w:val="ru-RU" w:eastAsia="ru-RU"/>
              </w:rPr>
              <w:t xml:space="preserve"> </w:t>
            </w:r>
            <w:proofErr w:type="spellStart"/>
            <w:r>
              <w:rPr>
                <w:color w:val="000000"/>
                <w:sz w:val="18"/>
                <w:szCs w:val="18"/>
                <w:lang w:val="ru-RU" w:eastAsia="ru-RU"/>
              </w:rPr>
              <w:t>Company</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AE60B8" w:rsidP="00E743BF">
            <w:pPr>
              <w:jc w:val="center"/>
              <w:rPr>
                <w:color w:val="000000"/>
                <w:sz w:val="18"/>
                <w:szCs w:val="18"/>
                <w:lang w:val="ru-RU" w:eastAsia="ru-RU"/>
              </w:rPr>
            </w:pPr>
            <w:proofErr w:type="spellStart"/>
            <w:r>
              <w:rPr>
                <w:color w:val="000000"/>
                <w:sz w:val="18"/>
                <w:szCs w:val="18"/>
                <w:lang w:val="ru-RU" w:eastAsia="ru-RU"/>
              </w:rPr>
              <w:t>treasury</w:t>
            </w:r>
            <w:proofErr w:type="spellEnd"/>
            <w:r>
              <w:rPr>
                <w:color w:val="000000"/>
                <w:sz w:val="18"/>
                <w:szCs w:val="18"/>
                <w:lang w:val="ru-RU" w:eastAsia="ru-RU"/>
              </w:rPr>
              <w:t xml:space="preserve"> </w:t>
            </w:r>
            <w:proofErr w:type="spellStart"/>
            <w:r>
              <w:rPr>
                <w:color w:val="000000"/>
                <w:sz w:val="18"/>
                <w:szCs w:val="18"/>
                <w:lang w:val="ru-RU" w:eastAsia="ru-RU"/>
              </w:rPr>
              <w:t>services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36</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180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216</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30</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C17C4F" w:rsidP="00E743BF">
            <w:pPr>
              <w:jc w:val="center"/>
              <w:rPr>
                <w:color w:val="000000"/>
                <w:sz w:val="18"/>
                <w:szCs w:val="18"/>
                <w:lang w:val="ru-RU" w:eastAsia="ru-RU"/>
              </w:rPr>
            </w:pPr>
            <w:r w:rsidRPr="000F56CD">
              <w:rPr>
                <w:color w:val="000000"/>
                <w:sz w:val="18"/>
                <w:szCs w:val="18"/>
                <w:lang w:val="ru-RU" w:eastAsia="ru-RU"/>
              </w:rPr>
              <w:t>OJSC “</w:t>
            </w:r>
            <w:proofErr w:type="spellStart"/>
            <w:r w:rsidRPr="000F56CD">
              <w:rPr>
                <w:color w:val="000000"/>
                <w:sz w:val="18"/>
                <w:szCs w:val="18"/>
                <w:lang w:val="ru-RU" w:eastAsia="ru-RU"/>
              </w:rPr>
              <w:t>Energetik</w:t>
            </w:r>
            <w:proofErr w:type="spellEnd"/>
            <w:r w:rsidRPr="000F56CD">
              <w:rPr>
                <w:color w:val="000000"/>
                <w:sz w:val="18"/>
                <w:szCs w:val="18"/>
                <w:lang w:val="ru-RU" w:eastAsia="ru-RU"/>
              </w:rPr>
              <w:t>”</w:t>
            </w:r>
            <w:r>
              <w:rPr>
                <w:color w:val="000000"/>
                <w:sz w:val="18"/>
                <w:szCs w:val="18"/>
                <w:lang w:val="en-US" w:eastAsia="ru-RU"/>
              </w:rPr>
              <w:t xml:space="preserve"> </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 xml:space="preserve">% </w:t>
            </w:r>
            <w:proofErr w:type="spellStart"/>
            <w:r w:rsidR="00AE60B8" w:rsidRPr="00AE60B8">
              <w:rPr>
                <w:color w:val="000000"/>
                <w:sz w:val="18"/>
                <w:szCs w:val="18"/>
                <w:lang w:val="ru-RU" w:eastAsia="ru-RU"/>
              </w:rPr>
              <w:t>accrued</w:t>
            </w:r>
            <w:proofErr w:type="spellEnd"/>
            <w:r w:rsidR="00AE60B8" w:rsidRPr="00AE60B8">
              <w:rPr>
                <w:color w:val="000000"/>
                <w:sz w:val="18"/>
                <w:szCs w:val="18"/>
                <w:lang w:val="ru-RU" w:eastAsia="ru-RU"/>
              </w:rPr>
              <w:t xml:space="preserve"> </w:t>
            </w:r>
            <w:proofErr w:type="spellStart"/>
            <w:r w:rsidR="00AE60B8" w:rsidRPr="00AE60B8">
              <w:rPr>
                <w:color w:val="000000"/>
                <w:sz w:val="18"/>
                <w:szCs w:val="18"/>
                <w:lang w:val="ru-RU" w:eastAsia="ru-RU"/>
              </w:rPr>
              <w:t>on</w:t>
            </w:r>
            <w:proofErr w:type="spellEnd"/>
            <w:r w:rsidR="00AE60B8" w:rsidRPr="00AE60B8">
              <w:rPr>
                <w:color w:val="000000"/>
                <w:sz w:val="18"/>
                <w:szCs w:val="18"/>
                <w:lang w:val="ru-RU" w:eastAsia="ru-RU"/>
              </w:rPr>
              <w:t xml:space="preserve"> </w:t>
            </w:r>
            <w:proofErr w:type="spellStart"/>
            <w:r w:rsidR="00AE60B8" w:rsidRPr="00AE60B8">
              <w:rPr>
                <w:color w:val="000000"/>
                <w:sz w:val="18"/>
                <w:szCs w:val="18"/>
                <w:lang w:val="ru-RU" w:eastAsia="ru-RU"/>
              </w:rPr>
              <w:t>the</w:t>
            </w:r>
            <w:proofErr w:type="spellEnd"/>
            <w:r w:rsidR="00AE60B8" w:rsidRPr="00AE60B8">
              <w:rPr>
                <w:color w:val="000000"/>
                <w:sz w:val="18"/>
                <w:szCs w:val="18"/>
                <w:lang w:val="ru-RU" w:eastAsia="ru-RU"/>
              </w:rPr>
              <w:t xml:space="preserve"> </w:t>
            </w:r>
            <w:proofErr w:type="spellStart"/>
            <w:r w:rsidR="00AE60B8" w:rsidRPr="00AE60B8">
              <w:rPr>
                <w:color w:val="000000"/>
                <w:sz w:val="18"/>
                <w:szCs w:val="18"/>
                <w:lang w:val="ru-RU" w:eastAsia="ru-RU"/>
              </w:rPr>
              <w:t>loan</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1</w:t>
            </w:r>
          </w:p>
        </w:tc>
      </w:tr>
      <w:tr w:rsidR="00DD73F3" w:rsidTr="00456802">
        <w:trPr>
          <w:trHeight w:val="49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31</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C17C4F" w:rsidP="00E743BF">
            <w:pPr>
              <w:jc w:val="center"/>
              <w:rPr>
                <w:color w:val="000000"/>
                <w:sz w:val="18"/>
                <w:szCs w:val="18"/>
                <w:lang w:val="ru-RU" w:eastAsia="ru-RU"/>
              </w:rPr>
            </w:pPr>
            <w:r w:rsidRPr="000F56CD">
              <w:rPr>
                <w:color w:val="000000"/>
                <w:sz w:val="18"/>
                <w:szCs w:val="18"/>
                <w:lang w:val="ru-RU" w:eastAsia="ru-RU"/>
              </w:rPr>
              <w:t>OJSC “</w:t>
            </w:r>
            <w:proofErr w:type="spellStart"/>
            <w:r w:rsidRPr="000F56CD">
              <w:rPr>
                <w:color w:val="000000"/>
                <w:sz w:val="18"/>
                <w:szCs w:val="18"/>
                <w:lang w:val="ru-RU" w:eastAsia="ru-RU"/>
              </w:rPr>
              <w:t>Energetik</w:t>
            </w:r>
            <w:proofErr w:type="spellEnd"/>
            <w:r w:rsidRPr="000F56CD">
              <w:rPr>
                <w:color w:val="000000"/>
                <w:sz w:val="18"/>
                <w:szCs w:val="18"/>
                <w:lang w:val="ru-RU" w:eastAsia="ru-RU"/>
              </w:rPr>
              <w:t>”</w:t>
            </w:r>
            <w:r>
              <w:rPr>
                <w:color w:val="000000"/>
                <w:sz w:val="18"/>
                <w:szCs w:val="18"/>
                <w:lang w:val="en-US" w:eastAsia="ru-RU"/>
              </w:rPr>
              <w:t xml:space="preserve"> </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D8731A" w:rsidRDefault="00D8731A" w:rsidP="00E743BF">
            <w:pPr>
              <w:jc w:val="center"/>
              <w:rPr>
                <w:color w:val="000000"/>
                <w:sz w:val="18"/>
                <w:szCs w:val="18"/>
                <w:lang w:val="en-US" w:eastAsia="ru-RU"/>
              </w:rPr>
            </w:pPr>
            <w:r w:rsidRPr="00270AAB">
              <w:rPr>
                <w:color w:val="000000"/>
                <w:sz w:val="18"/>
                <w:szCs w:val="18"/>
                <w:lang w:val="en-US" w:eastAsia="ru-RU"/>
              </w:rPr>
              <w:t>service of providing the loan of monetary funds</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2 000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2 000</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32</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C17C4F" w:rsidP="00E743BF">
            <w:pPr>
              <w:jc w:val="center"/>
              <w:rPr>
                <w:color w:val="000000"/>
                <w:sz w:val="18"/>
                <w:szCs w:val="18"/>
                <w:lang w:val="ru-RU" w:eastAsia="ru-RU"/>
              </w:rPr>
            </w:pPr>
            <w:r w:rsidRPr="000F56CD">
              <w:rPr>
                <w:color w:val="000000"/>
                <w:sz w:val="18"/>
                <w:szCs w:val="18"/>
                <w:lang w:val="ru-RU" w:eastAsia="ru-RU"/>
              </w:rPr>
              <w:t>OJSC “</w:t>
            </w:r>
            <w:proofErr w:type="spellStart"/>
            <w:r w:rsidRPr="000F56CD">
              <w:rPr>
                <w:color w:val="000000"/>
                <w:sz w:val="18"/>
                <w:szCs w:val="18"/>
                <w:lang w:val="ru-RU" w:eastAsia="ru-RU"/>
              </w:rPr>
              <w:t>Energetik</w:t>
            </w:r>
            <w:proofErr w:type="spellEnd"/>
            <w:r w:rsidRPr="000F56CD">
              <w:rPr>
                <w:color w:val="000000"/>
                <w:sz w:val="18"/>
                <w:szCs w:val="18"/>
                <w:lang w:val="ru-RU" w:eastAsia="ru-RU"/>
              </w:rPr>
              <w:t>”</w:t>
            </w:r>
            <w:r>
              <w:rPr>
                <w:color w:val="000000"/>
                <w:sz w:val="18"/>
                <w:szCs w:val="18"/>
                <w:lang w:val="en-US" w:eastAsia="ru-RU"/>
              </w:rPr>
              <w:t xml:space="preserve"> </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B66ADC" w:rsidP="00E743BF">
            <w:pPr>
              <w:jc w:val="center"/>
              <w:rPr>
                <w:color w:val="000000"/>
                <w:sz w:val="18"/>
                <w:szCs w:val="18"/>
                <w:lang w:val="ru-RU" w:eastAsia="ru-RU"/>
              </w:rPr>
            </w:pPr>
            <w:proofErr w:type="spellStart"/>
            <w:r>
              <w:rPr>
                <w:color w:val="000000"/>
                <w:sz w:val="18"/>
                <w:szCs w:val="18"/>
                <w:lang w:val="ru-RU" w:eastAsia="ru-RU"/>
              </w:rPr>
              <w:t>other</w:t>
            </w:r>
            <w:proofErr w:type="spellEnd"/>
            <w:r>
              <w:rPr>
                <w:color w:val="000000"/>
                <w:sz w:val="18"/>
                <w:szCs w:val="18"/>
                <w:lang w:val="ru-RU" w:eastAsia="ru-RU"/>
              </w:rPr>
              <w:t xml:space="preserve"> </w:t>
            </w:r>
            <w:proofErr w:type="spellStart"/>
            <w:r>
              <w:rPr>
                <w:color w:val="000000"/>
                <w:sz w:val="18"/>
                <w:szCs w:val="18"/>
                <w:lang w:val="ru-RU" w:eastAsia="ru-RU"/>
              </w:rPr>
              <w:t>settlements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30 7</w:t>
            </w:r>
            <w:r>
              <w:rPr>
                <w:color w:val="000000"/>
                <w:sz w:val="18"/>
                <w:szCs w:val="18"/>
                <w:lang w:val="en-US" w:eastAsia="ru-RU"/>
              </w:rPr>
              <w:t>10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en-US"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30 7</w:t>
            </w:r>
            <w:r>
              <w:rPr>
                <w:color w:val="000000"/>
                <w:sz w:val="18"/>
                <w:szCs w:val="18"/>
                <w:lang w:val="en-US" w:eastAsia="ru-RU"/>
              </w:rPr>
              <w:t>10</w:t>
            </w:r>
          </w:p>
        </w:tc>
      </w:tr>
      <w:tr w:rsidR="00DD73F3" w:rsidTr="00456802">
        <w:trPr>
          <w:trHeight w:val="28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lastRenderedPageBreak/>
              <w:t>33</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C17C4F" w:rsidP="00E743BF">
            <w:pPr>
              <w:jc w:val="center"/>
              <w:rPr>
                <w:color w:val="000000"/>
                <w:sz w:val="18"/>
                <w:szCs w:val="18"/>
                <w:lang w:val="ru-RU" w:eastAsia="ru-RU"/>
              </w:rPr>
            </w:pPr>
            <w:r w:rsidRPr="000F56CD">
              <w:rPr>
                <w:color w:val="000000"/>
                <w:sz w:val="18"/>
                <w:szCs w:val="18"/>
                <w:lang w:val="ru-RU" w:eastAsia="ru-RU"/>
              </w:rPr>
              <w:t>OJSC “</w:t>
            </w:r>
            <w:proofErr w:type="spellStart"/>
            <w:r w:rsidRPr="000F56CD">
              <w:rPr>
                <w:color w:val="000000"/>
                <w:sz w:val="18"/>
                <w:szCs w:val="18"/>
                <w:lang w:val="ru-RU" w:eastAsia="ru-RU"/>
              </w:rPr>
              <w:t>Energetik</w:t>
            </w:r>
            <w:proofErr w:type="spellEnd"/>
            <w:r w:rsidRPr="000F56CD">
              <w:rPr>
                <w:color w:val="000000"/>
                <w:sz w:val="18"/>
                <w:szCs w:val="18"/>
                <w:lang w:val="ru-RU" w:eastAsia="ru-RU"/>
              </w:rPr>
              <w:t>”</w:t>
            </w:r>
            <w:r>
              <w:rPr>
                <w:color w:val="000000"/>
                <w:sz w:val="18"/>
                <w:szCs w:val="18"/>
                <w:lang w:val="en-US" w:eastAsia="ru-RU"/>
              </w:rPr>
              <w:t xml:space="preserve"> </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1A1FB7" w:rsidP="00E743BF">
            <w:pPr>
              <w:jc w:val="center"/>
              <w:rPr>
                <w:color w:val="000000"/>
                <w:sz w:val="18"/>
                <w:szCs w:val="18"/>
                <w:lang w:val="ru-RU" w:eastAsia="ru-RU"/>
              </w:rPr>
            </w:pPr>
            <w:proofErr w:type="spellStart"/>
            <w:r w:rsidRPr="001A1FB7">
              <w:rPr>
                <w:color w:val="000000"/>
                <w:sz w:val="18"/>
                <w:szCs w:val="18"/>
                <w:lang w:val="ru-RU" w:eastAsia="ru-RU"/>
              </w:rPr>
              <w:t>dividends</w:t>
            </w:r>
            <w:proofErr w:type="spellEnd"/>
            <w:r w:rsidRPr="001A1FB7">
              <w:rPr>
                <w:color w:val="000000"/>
                <w:sz w:val="18"/>
                <w:szCs w:val="18"/>
                <w:lang w:val="ru-RU" w:eastAsia="ru-RU"/>
              </w:rPr>
              <w:t xml:space="preserve"> </w:t>
            </w:r>
            <w:proofErr w:type="spellStart"/>
            <w:r w:rsidRPr="001A1FB7">
              <w:rPr>
                <w:color w:val="000000"/>
                <w:sz w:val="18"/>
                <w:szCs w:val="18"/>
                <w:lang w:val="ru-RU" w:eastAsia="ru-RU"/>
              </w:rPr>
              <w:t>on</w:t>
            </w:r>
            <w:proofErr w:type="spellEnd"/>
            <w:r w:rsidRPr="001A1FB7">
              <w:rPr>
                <w:color w:val="000000"/>
                <w:sz w:val="18"/>
                <w:szCs w:val="18"/>
                <w:lang w:val="ru-RU" w:eastAsia="ru-RU"/>
              </w:rPr>
              <w:t xml:space="preserve"> </w:t>
            </w:r>
            <w:proofErr w:type="spellStart"/>
            <w:r w:rsidRPr="001A1FB7">
              <w:rPr>
                <w:color w:val="000000"/>
                <w:sz w:val="18"/>
                <w:szCs w:val="18"/>
                <w:lang w:val="ru-RU" w:eastAsia="ru-RU"/>
              </w:rPr>
              <w:t>shares</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1</w:t>
            </w:r>
            <w:r>
              <w:rPr>
                <w:color w:val="000000"/>
                <w:sz w:val="18"/>
                <w:szCs w:val="18"/>
                <w:lang w:val="en-US" w:eastAsia="ru-RU"/>
              </w:rPr>
              <w:t>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1</w:t>
            </w:r>
            <w:r>
              <w:rPr>
                <w:color w:val="000000"/>
                <w:sz w:val="18"/>
                <w:szCs w:val="18"/>
                <w:lang w:val="en-US" w:eastAsia="ru-RU"/>
              </w:rPr>
              <w:t>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73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34</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C17C4F"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YarEGC</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Pr="00D8731A" w:rsidRDefault="00D8731A" w:rsidP="001A1FB7">
            <w:pPr>
              <w:jc w:val="center"/>
              <w:rPr>
                <w:color w:val="000000"/>
                <w:sz w:val="18"/>
                <w:szCs w:val="18"/>
                <w:lang w:val="en-US" w:eastAsia="ru-RU"/>
              </w:rPr>
            </w:pPr>
            <w:r>
              <w:rPr>
                <w:color w:val="000000"/>
                <w:sz w:val="18"/>
                <w:szCs w:val="18"/>
                <w:lang w:val="en-US" w:eastAsia="ru-RU"/>
              </w:rPr>
              <w:t>e</w:t>
            </w:r>
            <w:r w:rsidRPr="00D8731A">
              <w:rPr>
                <w:color w:val="000000"/>
                <w:sz w:val="18"/>
                <w:szCs w:val="18"/>
                <w:lang w:val="en-US" w:eastAsia="ru-RU"/>
              </w:rPr>
              <w:t>mergency repair of electric equipment</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35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C17C4F"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YarEGC</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D8731A" w:rsidP="00E743BF">
            <w:pPr>
              <w:jc w:val="center"/>
              <w:rPr>
                <w:color w:val="000000"/>
                <w:sz w:val="18"/>
                <w:szCs w:val="18"/>
                <w:lang w:val="ru-RU" w:eastAsia="ru-RU"/>
              </w:rPr>
            </w:pPr>
            <w:proofErr w:type="spellStart"/>
            <w:r w:rsidRPr="00D8731A">
              <w:rPr>
                <w:color w:val="000000"/>
                <w:sz w:val="18"/>
                <w:szCs w:val="18"/>
                <w:lang w:val="ru-RU" w:eastAsia="ru-RU"/>
              </w:rPr>
              <w:t>maintenance</w:t>
            </w:r>
            <w:proofErr w:type="spellEnd"/>
            <w:r w:rsidRPr="00D8731A">
              <w:rPr>
                <w:color w:val="000000"/>
                <w:sz w:val="18"/>
                <w:szCs w:val="18"/>
                <w:lang w:val="ru-RU" w:eastAsia="ru-RU"/>
              </w:rPr>
              <w:t xml:space="preserve"> </w:t>
            </w:r>
            <w:proofErr w:type="spellStart"/>
            <w:r w:rsidRPr="00D8731A">
              <w:rPr>
                <w:color w:val="000000"/>
                <w:sz w:val="18"/>
                <w:szCs w:val="18"/>
                <w:lang w:val="ru-RU" w:eastAsia="ru-RU"/>
              </w:rPr>
              <w:t>of</w:t>
            </w:r>
            <w:proofErr w:type="spellEnd"/>
            <w:r w:rsidRPr="00D8731A">
              <w:rPr>
                <w:color w:val="000000"/>
                <w:sz w:val="18"/>
                <w:szCs w:val="18"/>
                <w:lang w:val="ru-RU" w:eastAsia="ru-RU"/>
              </w:rPr>
              <w:t xml:space="preserve"> </w:t>
            </w:r>
            <w:proofErr w:type="spellStart"/>
            <w:r w:rsidRPr="00D8731A">
              <w:rPr>
                <w:color w:val="000000"/>
                <w:sz w:val="18"/>
                <w:szCs w:val="18"/>
                <w:lang w:val="ru-RU" w:eastAsia="ru-RU"/>
              </w:rPr>
              <w:t>equipment</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8</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94</w:t>
            </w:r>
            <w:r>
              <w:rPr>
                <w:color w:val="000000"/>
                <w:sz w:val="18"/>
                <w:szCs w:val="18"/>
                <w:lang w:val="en-US" w:eastAsia="ru-RU"/>
              </w:rPr>
              <w:t>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8</w:t>
            </w:r>
            <w:r>
              <w:rPr>
                <w:color w:val="000000"/>
                <w:sz w:val="18"/>
                <w:szCs w:val="18"/>
                <w:lang w:val="en-US" w:eastAsia="ru-RU"/>
              </w:rPr>
              <w:t>70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83</w:t>
            </w:r>
          </w:p>
        </w:tc>
      </w:tr>
      <w:tr w:rsidR="00DD73F3" w:rsidTr="00456802">
        <w:trPr>
          <w:trHeight w:val="52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E743BF">
            <w:pPr>
              <w:jc w:val="center"/>
              <w:rPr>
                <w:color w:val="000000"/>
                <w:sz w:val="18"/>
                <w:szCs w:val="18"/>
                <w:lang w:val="ru-RU" w:eastAsia="ru-RU"/>
              </w:rPr>
            </w:pPr>
            <w:r>
              <w:rPr>
                <w:color w:val="000000"/>
                <w:sz w:val="18"/>
                <w:szCs w:val="18"/>
                <w:lang w:val="ru-RU" w:eastAsia="ru-RU"/>
              </w:rPr>
              <w:t>36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C17C4F" w:rsidP="00E743BF">
            <w:pPr>
              <w:jc w:val="center"/>
              <w:rPr>
                <w:color w:val="000000"/>
                <w:sz w:val="18"/>
                <w:szCs w:val="18"/>
                <w:lang w:val="ru-RU" w:eastAsia="ru-RU"/>
              </w:rPr>
            </w:pPr>
            <w:r>
              <w:rPr>
                <w:color w:val="000000"/>
                <w:sz w:val="18"/>
                <w:szCs w:val="18"/>
                <w:lang w:val="ru-RU" w:eastAsia="ru-RU"/>
              </w:rPr>
              <w:t>OJSC «</w:t>
            </w:r>
            <w:proofErr w:type="spellStart"/>
            <w:r>
              <w:rPr>
                <w:color w:val="000000"/>
                <w:sz w:val="18"/>
                <w:szCs w:val="18"/>
                <w:lang w:val="ru-RU" w:eastAsia="ru-RU"/>
              </w:rPr>
              <w:t>YarEGC</w:t>
            </w:r>
            <w:proofErr w:type="spellEnd"/>
            <w:r>
              <w:rPr>
                <w:color w:val="000000"/>
                <w:sz w:val="18"/>
                <w:szCs w:val="18"/>
                <w:lang w:val="ru-RU" w:eastAsia="ru-RU"/>
              </w:rPr>
              <w:t>»</w:t>
            </w:r>
            <w:r w:rsidR="00DD73F3">
              <w:rPr>
                <w:color w:val="000000"/>
                <w:sz w:val="18"/>
                <w:szCs w:val="18"/>
                <w:vertAlign w:val="superscript"/>
                <w:lang w:val="ru-RU" w:eastAsia="ru-RU"/>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D73F3" w:rsidRDefault="00D8731A" w:rsidP="00E743BF">
            <w:pPr>
              <w:jc w:val="center"/>
              <w:rPr>
                <w:color w:val="000000"/>
                <w:sz w:val="18"/>
                <w:szCs w:val="18"/>
                <w:lang w:val="ru-RU" w:eastAsia="ru-RU"/>
              </w:rPr>
            </w:pPr>
            <w:proofErr w:type="spellStart"/>
            <w:r>
              <w:rPr>
                <w:color w:val="000000"/>
                <w:sz w:val="18"/>
                <w:szCs w:val="18"/>
                <w:lang w:val="ru-RU" w:eastAsia="ru-RU"/>
              </w:rPr>
              <w:t>electric</w:t>
            </w:r>
            <w:proofErr w:type="spellEnd"/>
            <w:r>
              <w:rPr>
                <w:color w:val="000000"/>
                <w:sz w:val="18"/>
                <w:szCs w:val="18"/>
                <w:lang w:val="ru-RU" w:eastAsia="ru-RU"/>
              </w:rPr>
              <w:t xml:space="preserve"> </w:t>
            </w:r>
            <w:proofErr w:type="spellStart"/>
            <w:r>
              <w:rPr>
                <w:color w:val="000000"/>
                <w:sz w:val="18"/>
                <w:szCs w:val="18"/>
                <w:lang w:val="ru-RU" w:eastAsia="ru-RU"/>
              </w:rPr>
              <w:t>energy</w:t>
            </w:r>
            <w:proofErr w:type="spellEnd"/>
            <w:r>
              <w:rPr>
                <w:color w:val="000000"/>
                <w:sz w:val="18"/>
                <w:szCs w:val="18"/>
                <w:lang w:val="ru-RU" w:eastAsia="ru-RU"/>
              </w:rPr>
              <w:t xml:space="preserve"> </w:t>
            </w:r>
            <w:proofErr w:type="spellStart"/>
            <w:r>
              <w:rPr>
                <w:color w:val="000000"/>
                <w:sz w:val="18"/>
                <w:szCs w:val="18"/>
                <w:lang w:val="ru-RU" w:eastAsia="ru-RU"/>
              </w:rPr>
              <w:t>transmission</w:t>
            </w:r>
            <w:proofErr w:type="spellEnd"/>
            <w:r>
              <w:rPr>
                <w:color w:val="000000"/>
                <w:sz w:val="18"/>
                <w:szCs w:val="18"/>
                <w:lang w:val="ru-RU" w:eastAsia="ru-RU"/>
              </w:rPr>
              <w:t xml:space="preserve"> </w:t>
            </w:r>
            <w:proofErr w:type="spellStart"/>
            <w:r>
              <w:rPr>
                <w:color w:val="000000"/>
                <w:sz w:val="18"/>
                <w:szCs w:val="18"/>
                <w:lang w:val="ru-RU" w:eastAsia="ru-RU"/>
              </w:rPr>
              <w:t>service</w:t>
            </w:r>
            <w:proofErr w:type="spellEnd"/>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ru-RU" w:eastAsia="ru-RU"/>
              </w:rPr>
            </w:pPr>
            <w:r>
              <w:rPr>
                <w:color w:val="000000"/>
                <w:sz w:val="18"/>
                <w:szCs w:val="18"/>
                <w:lang w:val="ru-RU" w:eastAsia="ru-RU"/>
              </w:rPr>
              <w:t>4 112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3 76</w:t>
            </w:r>
            <w:r>
              <w:rPr>
                <w:color w:val="000000"/>
                <w:sz w:val="18"/>
                <w:szCs w:val="18"/>
                <w:lang w:val="en-US" w:eastAsia="ru-RU"/>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DD73F3" w:rsidRDefault="00DD73F3" w:rsidP="00456802">
            <w:pPr>
              <w:jc w:val="right"/>
              <w:rPr>
                <w:color w:val="000000"/>
                <w:sz w:val="18"/>
                <w:szCs w:val="18"/>
                <w:lang w:val="en-US" w:eastAsia="ru-RU"/>
              </w:rPr>
            </w:pPr>
            <w:r>
              <w:rPr>
                <w:color w:val="000000"/>
                <w:sz w:val="18"/>
                <w:szCs w:val="18"/>
                <w:lang w:val="ru-RU" w:eastAsia="ru-RU"/>
              </w:rPr>
              <w:t>35</w:t>
            </w:r>
            <w:r>
              <w:rPr>
                <w:color w:val="000000"/>
                <w:sz w:val="18"/>
                <w:szCs w:val="18"/>
                <w:lang w:val="en-US" w:eastAsia="ru-RU"/>
              </w:rPr>
              <w:t>2</w:t>
            </w:r>
          </w:p>
        </w:tc>
      </w:tr>
    </w:tbl>
    <w:p w:rsidR="00DD73F3" w:rsidRPr="00344002" w:rsidRDefault="00DD73F3" w:rsidP="00DD73F3">
      <w:pPr>
        <w:pStyle w:val="af7"/>
        <w:rPr>
          <w:rFonts w:ascii="Times New Roman" w:hAnsi="Times New Roman"/>
          <w:sz w:val="14"/>
          <w:szCs w:val="14"/>
          <w:lang w:val="en-US"/>
        </w:rPr>
      </w:pPr>
      <w:r>
        <w:rPr>
          <w:rStyle w:val="af9"/>
        </w:rPr>
        <w:footnoteRef/>
      </w:r>
      <w:r w:rsidRPr="00344002">
        <w:rPr>
          <w:lang w:val="en-US"/>
        </w:rPr>
        <w:t xml:space="preserve"> </w:t>
      </w:r>
      <w:r w:rsidR="00344002" w:rsidRPr="00AA048D">
        <w:rPr>
          <w:rFonts w:ascii="Times New Roman" w:eastAsia="Times New Roman" w:hAnsi="Times New Roman"/>
          <w:sz w:val="14"/>
          <w:szCs w:val="14"/>
          <w:lang w:val="en-US" w:eastAsia="ru-RU"/>
        </w:rPr>
        <w:t>A legal entity which is a subsidiary of the same company, which is a subsidiary of the Company itself</w:t>
      </w:r>
    </w:p>
    <w:p w:rsidR="00DD73F3" w:rsidRPr="00344002" w:rsidRDefault="00DD73F3" w:rsidP="00DD73F3">
      <w:pPr>
        <w:pStyle w:val="af7"/>
        <w:rPr>
          <w:lang w:val="en-US"/>
        </w:rPr>
      </w:pPr>
      <w:r w:rsidRPr="00344002">
        <w:rPr>
          <w:rStyle w:val="af9"/>
          <w:lang w:val="en-US"/>
        </w:rPr>
        <w:t>2</w:t>
      </w:r>
      <w:r w:rsidRPr="00344002">
        <w:rPr>
          <w:lang w:val="en-US"/>
        </w:rPr>
        <w:t xml:space="preserve"> </w:t>
      </w:r>
      <w:r w:rsidR="00344002" w:rsidRPr="00AA048D">
        <w:rPr>
          <w:rFonts w:ascii="Times New Roman" w:eastAsia="Times New Roman" w:hAnsi="Times New Roman"/>
          <w:sz w:val="14"/>
          <w:szCs w:val="14"/>
          <w:lang w:val="en-US" w:eastAsia="ru-RU"/>
        </w:rPr>
        <w:t>A legal entity which is a subsidiary of the Company</w:t>
      </w:r>
    </w:p>
    <w:p w:rsidR="00EE5710" w:rsidRPr="00344002" w:rsidRDefault="00DD73F3" w:rsidP="004034FB">
      <w:pPr>
        <w:jc w:val="both"/>
        <w:rPr>
          <w:sz w:val="24"/>
          <w:szCs w:val="24"/>
          <w:lang w:val="en-US" w:eastAsia="ru-RU"/>
        </w:rPr>
      </w:pPr>
      <w:r w:rsidRPr="00344002">
        <w:rPr>
          <w:rStyle w:val="af9"/>
          <w:lang w:val="en-US"/>
        </w:rPr>
        <w:t>3</w:t>
      </w:r>
      <w:r w:rsidRPr="00344002">
        <w:rPr>
          <w:lang w:val="en-US"/>
        </w:rPr>
        <w:t xml:space="preserve"> </w:t>
      </w:r>
      <w:r w:rsidR="00344002" w:rsidRPr="00AA048D">
        <w:rPr>
          <w:sz w:val="14"/>
          <w:szCs w:val="14"/>
          <w:lang w:val="en-US" w:eastAsia="ru-RU"/>
        </w:rPr>
        <w:t>The parent company of the Company</w:t>
      </w:r>
    </w:p>
    <w:p w:rsidR="00DD73F3" w:rsidRPr="00344002" w:rsidRDefault="00DD73F3" w:rsidP="00F82124">
      <w:pPr>
        <w:ind w:firstLine="709"/>
        <w:jc w:val="both"/>
        <w:rPr>
          <w:sz w:val="24"/>
          <w:szCs w:val="24"/>
          <w:lang w:val="en-US" w:eastAsia="ru-RU"/>
        </w:rPr>
      </w:pPr>
    </w:p>
    <w:p w:rsidR="00697226" w:rsidRPr="00EC20AB" w:rsidRDefault="00697226" w:rsidP="00697226">
      <w:pPr>
        <w:ind w:firstLine="709"/>
        <w:jc w:val="both"/>
        <w:rPr>
          <w:sz w:val="24"/>
          <w:szCs w:val="24"/>
          <w:lang w:val="en-US" w:eastAsia="ru-RU"/>
        </w:rPr>
      </w:pPr>
      <w:r w:rsidRPr="00726828">
        <w:rPr>
          <w:sz w:val="24"/>
          <w:szCs w:val="24"/>
          <w:lang w:val="en-US" w:eastAsia="ru-RU"/>
        </w:rPr>
        <w:t xml:space="preserve">3.11.5. </w:t>
      </w:r>
      <w:r w:rsidR="00EC20AB" w:rsidRPr="003F0CC4">
        <w:rPr>
          <w:sz w:val="24"/>
          <w:szCs w:val="24"/>
          <w:lang w:val="en-US" w:eastAsia="ru-RU"/>
        </w:rPr>
        <w:t>Remuneration</w:t>
      </w:r>
      <w:r w:rsidR="00EC20AB" w:rsidRPr="00EC20AB">
        <w:rPr>
          <w:sz w:val="24"/>
          <w:szCs w:val="24"/>
          <w:lang w:val="en-US" w:eastAsia="ru-RU"/>
        </w:rPr>
        <w:t xml:space="preserve"> (salary, bonuses and other payments) </w:t>
      </w:r>
      <w:r w:rsidR="00EC20AB" w:rsidRPr="003F0CC4">
        <w:rPr>
          <w:sz w:val="24"/>
          <w:szCs w:val="24"/>
          <w:lang w:val="en-US" w:eastAsia="ru-RU"/>
        </w:rPr>
        <w:t>of</w:t>
      </w:r>
      <w:r w:rsidR="00EC20AB" w:rsidRPr="00EC20AB">
        <w:rPr>
          <w:sz w:val="24"/>
          <w:szCs w:val="24"/>
          <w:lang w:val="en-US" w:eastAsia="ru-RU"/>
        </w:rPr>
        <w:t xml:space="preserve"> </w:t>
      </w:r>
      <w:r w:rsidR="00EC20AB" w:rsidRPr="003F0CC4">
        <w:rPr>
          <w:sz w:val="24"/>
          <w:szCs w:val="24"/>
          <w:lang w:val="en-US" w:eastAsia="ru-RU"/>
        </w:rPr>
        <w:t>key</w:t>
      </w:r>
      <w:r w:rsidR="00EC20AB" w:rsidRPr="00EC20AB">
        <w:rPr>
          <w:sz w:val="24"/>
          <w:szCs w:val="24"/>
          <w:lang w:val="en-US" w:eastAsia="ru-RU"/>
        </w:rPr>
        <w:t xml:space="preserve"> </w:t>
      </w:r>
      <w:r w:rsidR="00EC20AB" w:rsidRPr="003F0CC4">
        <w:rPr>
          <w:sz w:val="24"/>
          <w:szCs w:val="24"/>
          <w:lang w:val="en-US" w:eastAsia="ru-RU"/>
        </w:rPr>
        <w:t>management</w:t>
      </w:r>
      <w:r w:rsidR="00EC20AB" w:rsidRPr="00EC20AB">
        <w:rPr>
          <w:sz w:val="24"/>
          <w:szCs w:val="24"/>
          <w:lang w:val="en-US" w:eastAsia="ru-RU"/>
        </w:rPr>
        <w:t xml:space="preserve"> </w:t>
      </w:r>
      <w:r w:rsidR="00EC20AB" w:rsidRPr="003F0CC4">
        <w:rPr>
          <w:sz w:val="24"/>
          <w:szCs w:val="24"/>
          <w:lang w:val="en-US" w:eastAsia="ru-RU"/>
        </w:rPr>
        <w:t>personnel</w:t>
      </w:r>
      <w:r w:rsidR="00EC20AB" w:rsidRPr="00EC20AB">
        <w:rPr>
          <w:sz w:val="24"/>
          <w:szCs w:val="24"/>
          <w:lang w:val="en-US" w:eastAsia="ru-RU"/>
        </w:rPr>
        <w:t xml:space="preserve"> </w:t>
      </w:r>
      <w:r w:rsidR="00EC20AB" w:rsidRPr="003F0CC4">
        <w:rPr>
          <w:sz w:val="24"/>
          <w:szCs w:val="24"/>
          <w:lang w:val="en-US" w:eastAsia="ru-RU"/>
        </w:rPr>
        <w:t>of</w:t>
      </w:r>
      <w:r w:rsidR="00EC20AB" w:rsidRPr="00EC20AB">
        <w:rPr>
          <w:sz w:val="24"/>
          <w:szCs w:val="24"/>
          <w:lang w:val="en-US" w:eastAsia="ru-RU"/>
        </w:rPr>
        <w:t xml:space="preserve"> </w:t>
      </w:r>
      <w:r w:rsidR="00EC20AB" w:rsidRPr="003F0CC4">
        <w:rPr>
          <w:sz w:val="24"/>
          <w:szCs w:val="24"/>
          <w:lang w:val="en-US" w:eastAsia="ru-RU"/>
        </w:rPr>
        <w:t>the</w:t>
      </w:r>
      <w:r w:rsidR="00EC20AB" w:rsidRPr="00EC20AB">
        <w:rPr>
          <w:sz w:val="24"/>
          <w:szCs w:val="24"/>
          <w:lang w:val="en-US" w:eastAsia="ru-RU"/>
        </w:rPr>
        <w:t xml:space="preserve"> </w:t>
      </w:r>
      <w:r w:rsidR="00EC20AB" w:rsidRPr="003F0CC4">
        <w:rPr>
          <w:sz w:val="24"/>
          <w:szCs w:val="24"/>
          <w:lang w:val="en-US" w:eastAsia="ru-RU"/>
        </w:rPr>
        <w:t>Company</w:t>
      </w:r>
      <w:r w:rsidR="00EC20AB" w:rsidRPr="00EC20AB">
        <w:rPr>
          <w:sz w:val="24"/>
          <w:szCs w:val="24"/>
          <w:lang w:val="en-US" w:eastAsia="ru-RU"/>
        </w:rPr>
        <w:t xml:space="preserve"> </w:t>
      </w:r>
      <w:r w:rsidR="00EC20AB" w:rsidRPr="003F0CC4">
        <w:rPr>
          <w:sz w:val="24"/>
          <w:szCs w:val="24"/>
          <w:lang w:val="en-US" w:eastAsia="ru-RU"/>
        </w:rPr>
        <w:t>for</w:t>
      </w:r>
      <w:r w:rsidR="00EC20AB" w:rsidRPr="00EC20AB">
        <w:rPr>
          <w:sz w:val="24"/>
          <w:szCs w:val="24"/>
          <w:lang w:val="en-US" w:eastAsia="ru-RU"/>
        </w:rPr>
        <w:t xml:space="preserve"> 12 </w:t>
      </w:r>
      <w:r w:rsidR="00EC20AB" w:rsidRPr="003F0CC4">
        <w:rPr>
          <w:sz w:val="24"/>
          <w:szCs w:val="24"/>
          <w:lang w:val="en-US" w:eastAsia="ru-RU"/>
        </w:rPr>
        <w:t>months</w:t>
      </w:r>
      <w:r w:rsidR="00EC20AB" w:rsidRPr="00EC20AB">
        <w:rPr>
          <w:sz w:val="24"/>
          <w:szCs w:val="24"/>
          <w:lang w:val="en-US" w:eastAsia="ru-RU"/>
        </w:rPr>
        <w:t xml:space="preserve"> </w:t>
      </w:r>
      <w:r w:rsidRPr="00EC20AB">
        <w:rPr>
          <w:sz w:val="24"/>
          <w:szCs w:val="24"/>
          <w:lang w:val="en-US" w:eastAsia="ru-RU"/>
        </w:rPr>
        <w:t>2014:</w:t>
      </w:r>
    </w:p>
    <w:p w:rsidR="00697226" w:rsidRPr="00EC20AB" w:rsidRDefault="00697226" w:rsidP="00697226">
      <w:pPr>
        <w:jc w:val="center"/>
        <w:rPr>
          <w:rFonts w:ascii="13" w:hAnsi="13"/>
          <w:sz w:val="26"/>
          <w:szCs w:val="26"/>
          <w:lang w:val="en-US"/>
        </w:rPr>
      </w:pPr>
    </w:p>
    <w:tbl>
      <w:tblPr>
        <w:tblW w:w="48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00"/>
        <w:gridCol w:w="1892"/>
        <w:gridCol w:w="1892"/>
      </w:tblGrid>
      <w:tr w:rsidR="001B2413" w:rsidRPr="00DD79E1" w:rsidTr="001B2413">
        <w:trPr>
          <w:trHeight w:val="500"/>
        </w:trPr>
        <w:tc>
          <w:tcPr>
            <w:tcW w:w="2962" w:type="pct"/>
            <w:shd w:val="clear" w:color="auto" w:fill="auto"/>
            <w:vAlign w:val="center"/>
            <w:hideMark/>
          </w:tcPr>
          <w:p w:rsidR="001B2413" w:rsidRPr="00836721" w:rsidRDefault="001B2413" w:rsidP="007C4502">
            <w:pPr>
              <w:jc w:val="center"/>
              <w:rPr>
                <w:b/>
                <w:lang w:val="ru-RU"/>
              </w:rPr>
            </w:pPr>
            <w:proofErr w:type="spellStart"/>
            <w:r>
              <w:rPr>
                <w:b/>
                <w:lang w:val="ru-RU"/>
              </w:rPr>
              <w:t>Title</w:t>
            </w:r>
            <w:proofErr w:type="spellEnd"/>
          </w:p>
        </w:tc>
        <w:tc>
          <w:tcPr>
            <w:tcW w:w="1019" w:type="pct"/>
            <w:shd w:val="clear" w:color="auto" w:fill="auto"/>
            <w:vAlign w:val="center"/>
            <w:hideMark/>
          </w:tcPr>
          <w:p w:rsidR="001B2413" w:rsidRPr="00836721" w:rsidRDefault="001B2413" w:rsidP="007C4502">
            <w:pPr>
              <w:jc w:val="center"/>
              <w:rPr>
                <w:b/>
                <w:lang w:val="ru-RU"/>
              </w:rPr>
            </w:pPr>
            <w:proofErr w:type="spellStart"/>
            <w:r>
              <w:rPr>
                <w:b/>
                <w:lang w:val="ru-RU"/>
              </w:rPr>
              <w:t>Number</w:t>
            </w:r>
            <w:proofErr w:type="spellEnd"/>
            <w:r>
              <w:rPr>
                <w:b/>
                <w:lang w:val="ru-RU"/>
              </w:rPr>
              <w:t xml:space="preserve"> </w:t>
            </w:r>
            <w:proofErr w:type="spellStart"/>
            <w:r>
              <w:rPr>
                <w:b/>
                <w:lang w:val="ru-RU"/>
              </w:rPr>
              <w:t>of</w:t>
            </w:r>
            <w:proofErr w:type="spellEnd"/>
            <w:r>
              <w:rPr>
                <w:b/>
                <w:lang w:val="ru-RU"/>
              </w:rPr>
              <w:t xml:space="preserve"> </w:t>
            </w:r>
            <w:proofErr w:type="spellStart"/>
            <w:r>
              <w:rPr>
                <w:b/>
                <w:lang w:val="ru-RU"/>
              </w:rPr>
              <w:t>employees</w:t>
            </w:r>
            <w:proofErr w:type="spellEnd"/>
          </w:p>
        </w:tc>
        <w:tc>
          <w:tcPr>
            <w:tcW w:w="1019" w:type="pct"/>
            <w:shd w:val="clear" w:color="auto" w:fill="auto"/>
            <w:vAlign w:val="center"/>
            <w:hideMark/>
          </w:tcPr>
          <w:p w:rsidR="001B2413" w:rsidRPr="00836721" w:rsidRDefault="001B2413" w:rsidP="007C4502">
            <w:pPr>
              <w:jc w:val="center"/>
              <w:rPr>
                <w:b/>
                <w:lang w:val="ru-RU"/>
              </w:rPr>
            </w:pPr>
            <w:proofErr w:type="spellStart"/>
            <w:r>
              <w:rPr>
                <w:b/>
                <w:lang w:val="ru-RU"/>
              </w:rPr>
              <w:t>Amount</w:t>
            </w:r>
            <w:proofErr w:type="spellEnd"/>
            <w:r>
              <w:rPr>
                <w:b/>
                <w:lang w:val="ru-RU"/>
              </w:rPr>
              <w:t>*</w:t>
            </w:r>
            <w:r w:rsidRPr="00836721">
              <w:rPr>
                <w:b/>
                <w:lang w:val="ru-RU"/>
              </w:rPr>
              <w:t xml:space="preserve">, </w:t>
            </w:r>
            <w:r>
              <w:rPr>
                <w:b/>
                <w:lang w:val="ru-RU"/>
              </w:rPr>
              <w:br/>
            </w:r>
            <w:proofErr w:type="spellStart"/>
            <w:r>
              <w:rPr>
                <w:b/>
                <w:lang w:val="ru-RU"/>
              </w:rPr>
              <w:t>thous</w:t>
            </w:r>
            <w:proofErr w:type="spellEnd"/>
            <w:r>
              <w:rPr>
                <w:b/>
                <w:lang w:val="ru-RU"/>
              </w:rPr>
              <w:t>. RUB</w:t>
            </w:r>
            <w:r w:rsidRPr="00836721">
              <w:rPr>
                <w:b/>
                <w:lang w:val="ru-RU"/>
              </w:rPr>
              <w:t>.</w:t>
            </w:r>
          </w:p>
        </w:tc>
      </w:tr>
      <w:tr w:rsidR="00697226" w:rsidRPr="00DD79E1" w:rsidTr="001B2413">
        <w:trPr>
          <w:trHeight w:val="276"/>
        </w:trPr>
        <w:tc>
          <w:tcPr>
            <w:tcW w:w="2962" w:type="pct"/>
            <w:shd w:val="clear" w:color="auto" w:fill="auto"/>
            <w:noWrap/>
            <w:vAlign w:val="center"/>
            <w:hideMark/>
          </w:tcPr>
          <w:p w:rsidR="00697226" w:rsidRPr="00DD79E1" w:rsidRDefault="00156130" w:rsidP="00EA15E7">
            <w:pPr>
              <w:rPr>
                <w:b/>
                <w:bCs/>
                <w:color w:val="000000"/>
                <w:sz w:val="24"/>
                <w:szCs w:val="24"/>
                <w:lang w:val="ru-RU" w:eastAsia="ru-RU"/>
              </w:rPr>
            </w:pPr>
            <w:r>
              <w:rPr>
                <w:b/>
                <w:lang w:val="ru-RU"/>
              </w:rPr>
              <w:t xml:space="preserve">IDGC </w:t>
            </w:r>
            <w:proofErr w:type="spellStart"/>
            <w:r>
              <w:rPr>
                <w:b/>
                <w:lang w:val="ru-RU"/>
              </w:rPr>
              <w:t>of</w:t>
            </w:r>
            <w:proofErr w:type="spellEnd"/>
            <w:r>
              <w:rPr>
                <w:b/>
                <w:lang w:val="ru-RU"/>
              </w:rPr>
              <w:t xml:space="preserve"> </w:t>
            </w:r>
            <w:proofErr w:type="spellStart"/>
            <w:r>
              <w:rPr>
                <w:b/>
                <w:lang w:val="ru-RU"/>
              </w:rPr>
              <w:t>Centre</w:t>
            </w:r>
            <w:proofErr w:type="spellEnd"/>
          </w:p>
        </w:tc>
        <w:tc>
          <w:tcPr>
            <w:tcW w:w="1019" w:type="pct"/>
            <w:shd w:val="clear" w:color="auto" w:fill="auto"/>
            <w:noWrap/>
            <w:vAlign w:val="center"/>
            <w:hideMark/>
          </w:tcPr>
          <w:p w:rsidR="00697226" w:rsidRPr="00DD79E1" w:rsidRDefault="00697226" w:rsidP="00EA15E7">
            <w:pPr>
              <w:rPr>
                <w:color w:val="000000"/>
                <w:sz w:val="24"/>
                <w:szCs w:val="24"/>
                <w:lang w:val="ru-RU" w:eastAsia="ru-RU"/>
              </w:rPr>
            </w:pPr>
            <w:r w:rsidRPr="00DD79E1">
              <w:rPr>
                <w:color w:val="000000"/>
                <w:sz w:val="24"/>
                <w:szCs w:val="24"/>
                <w:lang w:val="ru-RU" w:eastAsia="ru-RU"/>
              </w:rPr>
              <w:t> </w:t>
            </w:r>
          </w:p>
        </w:tc>
        <w:tc>
          <w:tcPr>
            <w:tcW w:w="1019" w:type="pct"/>
            <w:shd w:val="clear" w:color="auto" w:fill="auto"/>
            <w:noWrap/>
            <w:vAlign w:val="center"/>
            <w:hideMark/>
          </w:tcPr>
          <w:p w:rsidR="00697226" w:rsidRPr="00DD79E1" w:rsidRDefault="00697226" w:rsidP="00EA15E7">
            <w:pPr>
              <w:rPr>
                <w:color w:val="000000"/>
                <w:sz w:val="24"/>
                <w:szCs w:val="24"/>
                <w:lang w:val="ru-RU" w:eastAsia="ru-RU"/>
              </w:rPr>
            </w:pPr>
            <w:r w:rsidRPr="00DD79E1">
              <w:rPr>
                <w:color w:val="000000"/>
                <w:sz w:val="24"/>
                <w:szCs w:val="24"/>
                <w:lang w:val="ru-RU" w:eastAsia="ru-RU"/>
              </w:rPr>
              <w:t> </w:t>
            </w:r>
          </w:p>
        </w:tc>
      </w:tr>
      <w:tr w:rsidR="001B2413" w:rsidRPr="00DD79E1" w:rsidTr="001B2413">
        <w:trPr>
          <w:trHeight w:val="327"/>
        </w:trPr>
        <w:tc>
          <w:tcPr>
            <w:tcW w:w="2962" w:type="pct"/>
            <w:shd w:val="clear" w:color="auto" w:fill="auto"/>
            <w:vAlign w:val="center"/>
            <w:hideMark/>
          </w:tcPr>
          <w:p w:rsidR="001B2413" w:rsidRPr="00976CE1" w:rsidRDefault="001B2413" w:rsidP="007C4502">
            <w:pPr>
              <w:rPr>
                <w:lang w:val="en-US" w:eastAsia="ru-RU"/>
              </w:rPr>
            </w:pPr>
            <w:r>
              <w:rPr>
                <w:lang w:val="en-US" w:eastAsia="ru-RU"/>
              </w:rPr>
              <w:t>E</w:t>
            </w:r>
            <w:r w:rsidRPr="00976CE1">
              <w:rPr>
                <w:lang w:val="en-US" w:eastAsia="ru-RU"/>
              </w:rPr>
              <w:t>mployees classified as «Top managers»</w:t>
            </w:r>
          </w:p>
        </w:tc>
        <w:tc>
          <w:tcPr>
            <w:tcW w:w="1019" w:type="pct"/>
            <w:shd w:val="clear" w:color="auto" w:fill="auto"/>
            <w:noWrap/>
            <w:vAlign w:val="center"/>
            <w:hideMark/>
          </w:tcPr>
          <w:p w:rsidR="001B2413" w:rsidRPr="00DD79E1" w:rsidRDefault="001B2413" w:rsidP="00EA15E7">
            <w:pPr>
              <w:jc w:val="center"/>
              <w:rPr>
                <w:lang w:val="ru-RU" w:eastAsia="ru-RU"/>
              </w:rPr>
            </w:pPr>
            <w:r w:rsidRPr="00DD79E1">
              <w:rPr>
                <w:lang w:val="ru-RU" w:eastAsia="ru-RU"/>
              </w:rPr>
              <w:t>37</w:t>
            </w:r>
          </w:p>
        </w:tc>
        <w:tc>
          <w:tcPr>
            <w:tcW w:w="1019" w:type="pct"/>
            <w:shd w:val="clear" w:color="auto" w:fill="auto"/>
            <w:noWrap/>
            <w:vAlign w:val="center"/>
            <w:hideMark/>
          </w:tcPr>
          <w:p w:rsidR="001B2413" w:rsidRPr="00DD79E1" w:rsidRDefault="001B2413" w:rsidP="00EA15E7">
            <w:pPr>
              <w:ind w:right="113"/>
              <w:jc w:val="right"/>
              <w:rPr>
                <w:lang w:val="ru-RU" w:eastAsia="ru-RU"/>
              </w:rPr>
            </w:pPr>
            <w:r w:rsidRPr="00DD79E1">
              <w:rPr>
                <w:lang w:val="ru-RU" w:eastAsia="ru-RU"/>
              </w:rPr>
              <w:t xml:space="preserve">284 </w:t>
            </w:r>
            <w:r>
              <w:rPr>
                <w:lang w:val="ru-RU" w:eastAsia="ru-RU"/>
              </w:rPr>
              <w:t>0</w:t>
            </w:r>
            <w:r w:rsidRPr="00DD79E1">
              <w:rPr>
                <w:lang w:val="ru-RU" w:eastAsia="ru-RU"/>
              </w:rPr>
              <w:t>24</w:t>
            </w:r>
          </w:p>
        </w:tc>
      </w:tr>
      <w:tr w:rsidR="001B2413" w:rsidRPr="00DD79E1" w:rsidTr="001B2413">
        <w:trPr>
          <w:trHeight w:val="276"/>
        </w:trPr>
        <w:tc>
          <w:tcPr>
            <w:tcW w:w="2962" w:type="pct"/>
            <w:shd w:val="clear" w:color="auto" w:fill="auto"/>
            <w:noWrap/>
            <w:vAlign w:val="center"/>
            <w:hideMark/>
          </w:tcPr>
          <w:p w:rsidR="001B2413" w:rsidRPr="00001398" w:rsidRDefault="001B2413" w:rsidP="007C4502">
            <w:pPr>
              <w:rPr>
                <w:lang w:val="en-US" w:eastAsia="ru-RU"/>
              </w:rPr>
            </w:pPr>
            <w:r>
              <w:rPr>
                <w:lang w:val="en-US" w:eastAsia="ru-RU"/>
              </w:rPr>
              <w:t>M</w:t>
            </w:r>
            <w:r w:rsidRPr="00001398">
              <w:rPr>
                <w:lang w:val="en-US" w:eastAsia="ru-RU"/>
              </w:rPr>
              <w:t>embers of the Management Board</w:t>
            </w:r>
          </w:p>
        </w:tc>
        <w:tc>
          <w:tcPr>
            <w:tcW w:w="1019" w:type="pct"/>
            <w:shd w:val="clear" w:color="auto" w:fill="auto"/>
            <w:noWrap/>
            <w:vAlign w:val="center"/>
            <w:hideMark/>
          </w:tcPr>
          <w:p w:rsidR="001B2413" w:rsidRPr="00DD79E1" w:rsidRDefault="001B2413" w:rsidP="00EA15E7">
            <w:pPr>
              <w:jc w:val="center"/>
              <w:rPr>
                <w:lang w:val="ru-RU" w:eastAsia="ru-RU"/>
              </w:rPr>
            </w:pPr>
            <w:r w:rsidRPr="00DD79E1">
              <w:rPr>
                <w:lang w:val="ru-RU" w:eastAsia="ru-RU"/>
              </w:rPr>
              <w:t>9</w:t>
            </w:r>
          </w:p>
        </w:tc>
        <w:tc>
          <w:tcPr>
            <w:tcW w:w="1019" w:type="pct"/>
            <w:shd w:val="clear" w:color="auto" w:fill="auto"/>
            <w:noWrap/>
            <w:vAlign w:val="center"/>
            <w:hideMark/>
          </w:tcPr>
          <w:p w:rsidR="001B2413" w:rsidRPr="00DD79E1" w:rsidRDefault="001B2413" w:rsidP="00EA15E7">
            <w:pPr>
              <w:ind w:right="113"/>
              <w:jc w:val="right"/>
              <w:rPr>
                <w:lang w:val="ru-RU" w:eastAsia="ru-RU"/>
              </w:rPr>
            </w:pPr>
            <w:r w:rsidRPr="00DD79E1">
              <w:rPr>
                <w:lang w:val="ru-RU" w:eastAsia="ru-RU"/>
              </w:rPr>
              <w:t>1 040</w:t>
            </w:r>
          </w:p>
        </w:tc>
      </w:tr>
      <w:tr w:rsidR="001B2413" w:rsidRPr="00DD79E1" w:rsidTr="001B2413">
        <w:trPr>
          <w:trHeight w:val="276"/>
        </w:trPr>
        <w:tc>
          <w:tcPr>
            <w:tcW w:w="2962" w:type="pct"/>
            <w:shd w:val="clear" w:color="auto" w:fill="auto"/>
            <w:noWrap/>
            <w:vAlign w:val="center"/>
            <w:hideMark/>
          </w:tcPr>
          <w:p w:rsidR="001B2413" w:rsidRPr="00001398" w:rsidRDefault="001B2413" w:rsidP="007C4502">
            <w:pPr>
              <w:rPr>
                <w:lang w:val="en-US" w:eastAsia="ru-RU"/>
              </w:rPr>
            </w:pPr>
            <w:r w:rsidRPr="00001398">
              <w:rPr>
                <w:lang w:val="en-US" w:eastAsia="ru-RU"/>
              </w:rPr>
              <w:t>Members of the Board of Directors</w:t>
            </w:r>
          </w:p>
        </w:tc>
        <w:tc>
          <w:tcPr>
            <w:tcW w:w="1019" w:type="pct"/>
            <w:shd w:val="clear" w:color="auto" w:fill="auto"/>
            <w:noWrap/>
            <w:vAlign w:val="center"/>
            <w:hideMark/>
          </w:tcPr>
          <w:p w:rsidR="001B2413" w:rsidRPr="00DD79E1" w:rsidRDefault="001B2413" w:rsidP="00EA15E7">
            <w:pPr>
              <w:jc w:val="center"/>
              <w:rPr>
                <w:lang w:val="ru-RU" w:eastAsia="ru-RU"/>
              </w:rPr>
            </w:pPr>
            <w:r w:rsidRPr="00DD79E1">
              <w:rPr>
                <w:lang w:val="ru-RU" w:eastAsia="ru-RU"/>
              </w:rPr>
              <w:t>21</w:t>
            </w:r>
          </w:p>
        </w:tc>
        <w:tc>
          <w:tcPr>
            <w:tcW w:w="1019" w:type="pct"/>
            <w:shd w:val="clear" w:color="auto" w:fill="auto"/>
            <w:noWrap/>
            <w:vAlign w:val="center"/>
            <w:hideMark/>
          </w:tcPr>
          <w:p w:rsidR="001B2413" w:rsidRPr="00DD79E1" w:rsidRDefault="001B2413" w:rsidP="00EA15E7">
            <w:pPr>
              <w:ind w:right="113"/>
              <w:jc w:val="right"/>
              <w:rPr>
                <w:lang w:val="ru-RU" w:eastAsia="ru-RU"/>
              </w:rPr>
            </w:pPr>
            <w:r w:rsidRPr="00DD79E1">
              <w:rPr>
                <w:lang w:val="ru-RU" w:eastAsia="ru-RU"/>
              </w:rPr>
              <w:t>12 990</w:t>
            </w:r>
          </w:p>
        </w:tc>
      </w:tr>
      <w:tr w:rsidR="001B2413" w:rsidRPr="00DD79E1" w:rsidTr="001B2413">
        <w:trPr>
          <w:trHeight w:val="276"/>
        </w:trPr>
        <w:tc>
          <w:tcPr>
            <w:tcW w:w="2962" w:type="pct"/>
            <w:shd w:val="clear" w:color="auto" w:fill="auto"/>
            <w:noWrap/>
            <w:vAlign w:val="center"/>
            <w:hideMark/>
          </w:tcPr>
          <w:p w:rsidR="001B2413" w:rsidRPr="00001398" w:rsidRDefault="001B2413" w:rsidP="007C4502">
            <w:pPr>
              <w:rPr>
                <w:lang w:val="en-US" w:eastAsia="ru-RU"/>
              </w:rPr>
            </w:pPr>
            <w:r w:rsidRPr="00001398">
              <w:rPr>
                <w:lang w:val="en-US" w:eastAsia="ru-RU"/>
              </w:rPr>
              <w:t>Members of the Audit Commission</w:t>
            </w:r>
          </w:p>
        </w:tc>
        <w:tc>
          <w:tcPr>
            <w:tcW w:w="1019" w:type="pct"/>
            <w:shd w:val="clear" w:color="auto" w:fill="auto"/>
            <w:noWrap/>
            <w:vAlign w:val="center"/>
            <w:hideMark/>
          </w:tcPr>
          <w:p w:rsidR="001B2413" w:rsidRPr="00DD79E1" w:rsidRDefault="001B2413" w:rsidP="00EA15E7">
            <w:pPr>
              <w:jc w:val="center"/>
              <w:rPr>
                <w:lang w:val="ru-RU" w:eastAsia="ru-RU"/>
              </w:rPr>
            </w:pPr>
            <w:r w:rsidRPr="00DD79E1">
              <w:rPr>
                <w:lang w:val="ru-RU" w:eastAsia="ru-RU"/>
              </w:rPr>
              <w:t>5</w:t>
            </w:r>
          </w:p>
        </w:tc>
        <w:tc>
          <w:tcPr>
            <w:tcW w:w="1019" w:type="pct"/>
            <w:shd w:val="clear" w:color="auto" w:fill="auto"/>
            <w:noWrap/>
            <w:vAlign w:val="center"/>
            <w:hideMark/>
          </w:tcPr>
          <w:p w:rsidR="001B2413" w:rsidRPr="00DD79E1" w:rsidRDefault="001B2413" w:rsidP="00EA15E7">
            <w:pPr>
              <w:ind w:right="113"/>
              <w:jc w:val="right"/>
              <w:rPr>
                <w:lang w:val="ru-RU" w:eastAsia="ru-RU"/>
              </w:rPr>
            </w:pPr>
            <w:r w:rsidRPr="00DD79E1">
              <w:rPr>
                <w:lang w:val="ru-RU" w:eastAsia="ru-RU"/>
              </w:rPr>
              <w:t>1 350</w:t>
            </w:r>
          </w:p>
        </w:tc>
      </w:tr>
      <w:tr w:rsidR="001B2413" w:rsidRPr="00DD79E1" w:rsidTr="001B2413">
        <w:trPr>
          <w:trHeight w:val="300"/>
        </w:trPr>
        <w:tc>
          <w:tcPr>
            <w:tcW w:w="2962" w:type="pct"/>
            <w:shd w:val="clear" w:color="auto" w:fill="auto"/>
            <w:noWrap/>
            <w:vAlign w:val="center"/>
            <w:hideMark/>
          </w:tcPr>
          <w:p w:rsidR="001B2413" w:rsidRPr="00001398" w:rsidRDefault="001B2413" w:rsidP="007C4502">
            <w:pPr>
              <w:rPr>
                <w:lang w:val="en-US" w:eastAsia="ru-RU"/>
              </w:rPr>
            </w:pPr>
            <w:r w:rsidRPr="00001398">
              <w:rPr>
                <w:lang w:val="en-US" w:eastAsia="ru-RU"/>
              </w:rPr>
              <w:t xml:space="preserve">Members of Committees </w:t>
            </w:r>
            <w:r>
              <w:rPr>
                <w:lang w:val="en-US" w:eastAsia="ru-RU"/>
              </w:rPr>
              <w:t>under</w:t>
            </w:r>
            <w:r w:rsidRPr="00001398">
              <w:rPr>
                <w:lang w:val="en-US" w:eastAsia="ru-RU"/>
              </w:rPr>
              <w:t xml:space="preserve"> the Board of Directors</w:t>
            </w:r>
          </w:p>
        </w:tc>
        <w:tc>
          <w:tcPr>
            <w:tcW w:w="1019" w:type="pct"/>
            <w:shd w:val="clear" w:color="auto" w:fill="auto"/>
            <w:noWrap/>
            <w:vAlign w:val="center"/>
            <w:hideMark/>
          </w:tcPr>
          <w:p w:rsidR="001B2413" w:rsidRPr="00DD79E1" w:rsidRDefault="001B2413" w:rsidP="00EA15E7">
            <w:pPr>
              <w:jc w:val="center"/>
              <w:rPr>
                <w:lang w:val="ru-RU" w:eastAsia="ru-RU"/>
              </w:rPr>
            </w:pPr>
            <w:r w:rsidRPr="00DD79E1">
              <w:rPr>
                <w:lang w:val="ru-RU" w:eastAsia="ru-RU"/>
              </w:rPr>
              <w:t>32</w:t>
            </w:r>
          </w:p>
        </w:tc>
        <w:tc>
          <w:tcPr>
            <w:tcW w:w="1019" w:type="pct"/>
            <w:shd w:val="clear" w:color="auto" w:fill="auto"/>
            <w:noWrap/>
            <w:vAlign w:val="center"/>
            <w:hideMark/>
          </w:tcPr>
          <w:p w:rsidR="001B2413" w:rsidRPr="00DD79E1" w:rsidRDefault="001B2413" w:rsidP="00EA15E7">
            <w:pPr>
              <w:ind w:right="113"/>
              <w:jc w:val="right"/>
              <w:rPr>
                <w:lang w:val="ru-RU" w:eastAsia="ru-RU"/>
              </w:rPr>
            </w:pPr>
            <w:r w:rsidRPr="00DD79E1">
              <w:rPr>
                <w:lang w:val="ru-RU" w:eastAsia="ru-RU"/>
              </w:rPr>
              <w:t>2 983</w:t>
            </w:r>
          </w:p>
        </w:tc>
      </w:tr>
      <w:tr w:rsidR="00697226" w:rsidRPr="00DD79E1" w:rsidTr="001B2413">
        <w:trPr>
          <w:trHeight w:val="276"/>
        </w:trPr>
        <w:tc>
          <w:tcPr>
            <w:tcW w:w="2962" w:type="pct"/>
            <w:shd w:val="clear" w:color="auto" w:fill="auto"/>
            <w:noWrap/>
            <w:vAlign w:val="center"/>
            <w:hideMark/>
          </w:tcPr>
          <w:p w:rsidR="00697226" w:rsidRPr="00DD79E1" w:rsidRDefault="001B2413" w:rsidP="00EA15E7">
            <w:pPr>
              <w:jc w:val="center"/>
              <w:rPr>
                <w:b/>
                <w:lang w:val="ru-RU"/>
              </w:rPr>
            </w:pPr>
            <w:r>
              <w:rPr>
                <w:b/>
                <w:lang w:val="en-US"/>
              </w:rPr>
              <w:t>TOTAL</w:t>
            </w:r>
          </w:p>
        </w:tc>
        <w:tc>
          <w:tcPr>
            <w:tcW w:w="1019" w:type="pct"/>
            <w:shd w:val="clear" w:color="auto" w:fill="auto"/>
            <w:noWrap/>
            <w:vAlign w:val="center"/>
            <w:hideMark/>
          </w:tcPr>
          <w:p w:rsidR="00697226" w:rsidRPr="00DD79E1" w:rsidRDefault="00697226" w:rsidP="00EA15E7">
            <w:pPr>
              <w:jc w:val="center"/>
              <w:rPr>
                <w:b/>
                <w:lang w:val="ru-RU"/>
              </w:rPr>
            </w:pPr>
            <w:r w:rsidRPr="00DD79E1">
              <w:rPr>
                <w:b/>
                <w:lang w:val="ru-RU"/>
              </w:rPr>
              <w:t>104</w:t>
            </w:r>
          </w:p>
        </w:tc>
        <w:tc>
          <w:tcPr>
            <w:tcW w:w="1019" w:type="pct"/>
            <w:shd w:val="clear" w:color="auto" w:fill="auto"/>
            <w:noWrap/>
            <w:vAlign w:val="center"/>
            <w:hideMark/>
          </w:tcPr>
          <w:p w:rsidR="00697226" w:rsidRPr="00DD79E1" w:rsidRDefault="00697226" w:rsidP="00EA15E7">
            <w:pPr>
              <w:ind w:right="113"/>
              <w:jc w:val="right"/>
              <w:rPr>
                <w:b/>
                <w:lang w:val="ru-RU"/>
              </w:rPr>
            </w:pPr>
            <w:r w:rsidRPr="00DD79E1">
              <w:rPr>
                <w:b/>
                <w:lang w:val="ru-RU"/>
              </w:rPr>
              <w:t>302 38</w:t>
            </w:r>
            <w:r>
              <w:rPr>
                <w:b/>
                <w:lang w:val="ru-RU"/>
              </w:rPr>
              <w:t>7</w:t>
            </w:r>
          </w:p>
        </w:tc>
      </w:tr>
    </w:tbl>
    <w:p w:rsidR="00697226" w:rsidRPr="00DD79E1" w:rsidRDefault="00697226" w:rsidP="00697226">
      <w:pPr>
        <w:jc w:val="center"/>
        <w:rPr>
          <w:lang w:val="ru-RU"/>
        </w:rPr>
      </w:pPr>
    </w:p>
    <w:p w:rsidR="00697226" w:rsidRPr="001B2413" w:rsidRDefault="00697226" w:rsidP="00697226">
      <w:pPr>
        <w:ind w:firstLine="709"/>
        <w:rPr>
          <w:sz w:val="21"/>
          <w:szCs w:val="21"/>
          <w:lang w:val="en-US"/>
        </w:rPr>
      </w:pPr>
      <w:r w:rsidRPr="001B2413">
        <w:rPr>
          <w:sz w:val="21"/>
          <w:szCs w:val="21"/>
          <w:lang w:val="en-US"/>
        </w:rPr>
        <w:t xml:space="preserve">* </w:t>
      </w:r>
      <w:proofErr w:type="gramStart"/>
      <w:r w:rsidR="001B2413" w:rsidRPr="00CC369B">
        <w:rPr>
          <w:sz w:val="21"/>
          <w:szCs w:val="21"/>
          <w:lang w:val="en-US"/>
        </w:rPr>
        <w:t>the</w:t>
      </w:r>
      <w:proofErr w:type="gramEnd"/>
      <w:r w:rsidR="001B2413" w:rsidRPr="00CC369B">
        <w:rPr>
          <w:sz w:val="21"/>
          <w:szCs w:val="21"/>
          <w:lang w:val="en-US"/>
        </w:rPr>
        <w:t xml:space="preserve"> amount is shown, including accrued taxes and mandatory payments to the appropriate budgets and off-budget funds</w:t>
      </w:r>
      <w:r w:rsidRPr="001B2413">
        <w:rPr>
          <w:sz w:val="21"/>
          <w:szCs w:val="21"/>
          <w:lang w:val="en-US"/>
        </w:rPr>
        <w:t>.</w:t>
      </w:r>
    </w:p>
    <w:p w:rsidR="00DD73F3" w:rsidRPr="001B2413" w:rsidRDefault="00DD73F3" w:rsidP="00F82124">
      <w:pPr>
        <w:ind w:firstLine="709"/>
        <w:jc w:val="both"/>
        <w:rPr>
          <w:sz w:val="24"/>
          <w:szCs w:val="24"/>
          <w:lang w:val="en-US" w:eastAsia="ru-RU"/>
        </w:rPr>
      </w:pPr>
    </w:p>
    <w:p w:rsidR="00F82124" w:rsidRPr="000E3355" w:rsidRDefault="00F82124" w:rsidP="00F82124">
      <w:pPr>
        <w:ind w:firstLine="709"/>
        <w:jc w:val="both"/>
        <w:rPr>
          <w:sz w:val="24"/>
          <w:szCs w:val="24"/>
          <w:lang w:val="en-US" w:eastAsia="ru-RU"/>
        </w:rPr>
      </w:pPr>
      <w:r w:rsidRPr="00726828">
        <w:rPr>
          <w:sz w:val="24"/>
          <w:szCs w:val="24"/>
          <w:lang w:val="en-US" w:eastAsia="ru-RU"/>
        </w:rPr>
        <w:t xml:space="preserve">3.11.6. </w:t>
      </w:r>
      <w:r w:rsidR="000E3355" w:rsidRPr="003F0CC4">
        <w:rPr>
          <w:sz w:val="24"/>
          <w:szCs w:val="24"/>
          <w:lang w:val="en-US" w:eastAsia="ru-RU"/>
        </w:rPr>
        <w:t>Remuneration</w:t>
      </w:r>
      <w:r w:rsidR="000E3355" w:rsidRPr="00EC20AB">
        <w:rPr>
          <w:sz w:val="24"/>
          <w:szCs w:val="24"/>
          <w:lang w:val="en-US" w:eastAsia="ru-RU"/>
        </w:rPr>
        <w:t xml:space="preserve"> (salary, bonuses and other payments) </w:t>
      </w:r>
      <w:r w:rsidR="000E3355" w:rsidRPr="003F0CC4">
        <w:rPr>
          <w:sz w:val="24"/>
          <w:szCs w:val="24"/>
          <w:lang w:val="en-US" w:eastAsia="ru-RU"/>
        </w:rPr>
        <w:t>of</w:t>
      </w:r>
      <w:r w:rsidR="000E3355" w:rsidRPr="00EC20AB">
        <w:rPr>
          <w:sz w:val="24"/>
          <w:szCs w:val="24"/>
          <w:lang w:val="en-US" w:eastAsia="ru-RU"/>
        </w:rPr>
        <w:t xml:space="preserve"> </w:t>
      </w:r>
      <w:r w:rsidR="000E3355" w:rsidRPr="003F0CC4">
        <w:rPr>
          <w:sz w:val="24"/>
          <w:szCs w:val="24"/>
          <w:lang w:val="en-US" w:eastAsia="ru-RU"/>
        </w:rPr>
        <w:t>key</w:t>
      </w:r>
      <w:r w:rsidR="000E3355" w:rsidRPr="00EC20AB">
        <w:rPr>
          <w:sz w:val="24"/>
          <w:szCs w:val="24"/>
          <w:lang w:val="en-US" w:eastAsia="ru-RU"/>
        </w:rPr>
        <w:t xml:space="preserve"> </w:t>
      </w:r>
      <w:r w:rsidR="000E3355" w:rsidRPr="003F0CC4">
        <w:rPr>
          <w:sz w:val="24"/>
          <w:szCs w:val="24"/>
          <w:lang w:val="en-US" w:eastAsia="ru-RU"/>
        </w:rPr>
        <w:t>management</w:t>
      </w:r>
      <w:r w:rsidR="000E3355" w:rsidRPr="00EC20AB">
        <w:rPr>
          <w:sz w:val="24"/>
          <w:szCs w:val="24"/>
          <w:lang w:val="en-US" w:eastAsia="ru-RU"/>
        </w:rPr>
        <w:t xml:space="preserve"> </w:t>
      </w:r>
      <w:r w:rsidR="000E3355" w:rsidRPr="003F0CC4">
        <w:rPr>
          <w:sz w:val="24"/>
          <w:szCs w:val="24"/>
          <w:lang w:val="en-US" w:eastAsia="ru-RU"/>
        </w:rPr>
        <w:t>personnel</w:t>
      </w:r>
      <w:r w:rsidR="000E3355" w:rsidRPr="00EC20AB">
        <w:rPr>
          <w:sz w:val="24"/>
          <w:szCs w:val="24"/>
          <w:lang w:val="en-US" w:eastAsia="ru-RU"/>
        </w:rPr>
        <w:t xml:space="preserve"> </w:t>
      </w:r>
      <w:r w:rsidR="000E3355" w:rsidRPr="003F0CC4">
        <w:rPr>
          <w:sz w:val="24"/>
          <w:szCs w:val="24"/>
          <w:lang w:val="en-US" w:eastAsia="ru-RU"/>
        </w:rPr>
        <w:t>of</w:t>
      </w:r>
      <w:r w:rsidR="000E3355" w:rsidRPr="00EC20AB">
        <w:rPr>
          <w:sz w:val="24"/>
          <w:szCs w:val="24"/>
          <w:lang w:val="en-US" w:eastAsia="ru-RU"/>
        </w:rPr>
        <w:t xml:space="preserve"> </w:t>
      </w:r>
      <w:r w:rsidR="000E3355" w:rsidRPr="003F0CC4">
        <w:rPr>
          <w:sz w:val="24"/>
          <w:szCs w:val="24"/>
          <w:lang w:val="en-US" w:eastAsia="ru-RU"/>
        </w:rPr>
        <w:t>the</w:t>
      </w:r>
      <w:r w:rsidR="000E3355" w:rsidRPr="00EC20AB">
        <w:rPr>
          <w:sz w:val="24"/>
          <w:szCs w:val="24"/>
          <w:lang w:val="en-US" w:eastAsia="ru-RU"/>
        </w:rPr>
        <w:t xml:space="preserve"> </w:t>
      </w:r>
      <w:r w:rsidR="000E3355" w:rsidRPr="003F0CC4">
        <w:rPr>
          <w:sz w:val="24"/>
          <w:szCs w:val="24"/>
          <w:lang w:val="en-US" w:eastAsia="ru-RU"/>
        </w:rPr>
        <w:t>Company</w:t>
      </w:r>
      <w:r w:rsidR="000E3355" w:rsidRPr="00EC20AB">
        <w:rPr>
          <w:sz w:val="24"/>
          <w:szCs w:val="24"/>
          <w:lang w:val="en-US" w:eastAsia="ru-RU"/>
        </w:rPr>
        <w:t xml:space="preserve"> </w:t>
      </w:r>
      <w:r w:rsidR="000E3355" w:rsidRPr="003F0CC4">
        <w:rPr>
          <w:sz w:val="24"/>
          <w:szCs w:val="24"/>
          <w:lang w:val="en-US" w:eastAsia="ru-RU"/>
        </w:rPr>
        <w:t>for</w:t>
      </w:r>
      <w:r w:rsidR="000E3355" w:rsidRPr="00EC20AB">
        <w:rPr>
          <w:sz w:val="24"/>
          <w:szCs w:val="24"/>
          <w:lang w:val="en-US" w:eastAsia="ru-RU"/>
        </w:rPr>
        <w:t xml:space="preserve"> 12 </w:t>
      </w:r>
      <w:r w:rsidR="000E3355" w:rsidRPr="003F0CC4">
        <w:rPr>
          <w:sz w:val="24"/>
          <w:szCs w:val="24"/>
          <w:lang w:val="en-US" w:eastAsia="ru-RU"/>
        </w:rPr>
        <w:t>months</w:t>
      </w:r>
      <w:r w:rsidR="000E3355" w:rsidRPr="00EC20AB">
        <w:rPr>
          <w:sz w:val="24"/>
          <w:szCs w:val="24"/>
          <w:lang w:val="en-US" w:eastAsia="ru-RU"/>
        </w:rPr>
        <w:t xml:space="preserve"> </w:t>
      </w:r>
      <w:r w:rsidRPr="000E3355">
        <w:rPr>
          <w:sz w:val="24"/>
          <w:szCs w:val="24"/>
          <w:lang w:val="en-US" w:eastAsia="ru-RU"/>
        </w:rPr>
        <w:t>201</w:t>
      </w:r>
      <w:r w:rsidR="00DD79E1" w:rsidRPr="000E3355">
        <w:rPr>
          <w:sz w:val="24"/>
          <w:szCs w:val="24"/>
          <w:lang w:val="en-US" w:eastAsia="ru-RU"/>
        </w:rPr>
        <w:t>3</w:t>
      </w:r>
      <w:r w:rsidRPr="000E3355">
        <w:rPr>
          <w:sz w:val="24"/>
          <w:szCs w:val="24"/>
          <w:lang w:val="en-US" w:eastAsia="ru-RU"/>
        </w:rPr>
        <w:t>:</w:t>
      </w:r>
    </w:p>
    <w:p w:rsidR="00F82124" w:rsidRPr="000E3355" w:rsidRDefault="00F82124" w:rsidP="00F82124">
      <w:pPr>
        <w:jc w:val="center"/>
        <w:rPr>
          <w:rFonts w:ascii="13" w:hAnsi="13"/>
          <w:sz w:val="26"/>
          <w:szCs w:val="26"/>
          <w:lang w:val="en-US"/>
        </w:rPr>
      </w:pPr>
    </w:p>
    <w:tbl>
      <w:tblPr>
        <w:tblW w:w="48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8"/>
        <w:gridCol w:w="1893"/>
        <w:gridCol w:w="1868"/>
      </w:tblGrid>
      <w:tr w:rsidR="00B9031B" w:rsidRPr="00DD79E1" w:rsidTr="004E5F81">
        <w:trPr>
          <w:trHeight w:val="500"/>
        </w:trPr>
        <w:tc>
          <w:tcPr>
            <w:tcW w:w="2969" w:type="pct"/>
            <w:shd w:val="clear" w:color="auto" w:fill="auto"/>
            <w:vAlign w:val="center"/>
            <w:hideMark/>
          </w:tcPr>
          <w:p w:rsidR="00B9031B" w:rsidRPr="00836721" w:rsidRDefault="00B9031B" w:rsidP="007C4502">
            <w:pPr>
              <w:jc w:val="center"/>
              <w:rPr>
                <w:b/>
                <w:lang w:val="ru-RU"/>
              </w:rPr>
            </w:pPr>
            <w:proofErr w:type="spellStart"/>
            <w:r>
              <w:rPr>
                <w:b/>
                <w:lang w:val="ru-RU"/>
              </w:rPr>
              <w:t>Title</w:t>
            </w:r>
            <w:proofErr w:type="spellEnd"/>
          </w:p>
        </w:tc>
        <w:tc>
          <w:tcPr>
            <w:tcW w:w="1022" w:type="pct"/>
            <w:shd w:val="clear" w:color="auto" w:fill="auto"/>
            <w:vAlign w:val="center"/>
            <w:hideMark/>
          </w:tcPr>
          <w:p w:rsidR="00B9031B" w:rsidRPr="00836721" w:rsidRDefault="00B9031B" w:rsidP="007C4502">
            <w:pPr>
              <w:jc w:val="center"/>
              <w:rPr>
                <w:b/>
                <w:lang w:val="ru-RU"/>
              </w:rPr>
            </w:pPr>
            <w:proofErr w:type="spellStart"/>
            <w:r>
              <w:rPr>
                <w:b/>
                <w:lang w:val="ru-RU"/>
              </w:rPr>
              <w:t>Number</w:t>
            </w:r>
            <w:proofErr w:type="spellEnd"/>
            <w:r>
              <w:rPr>
                <w:b/>
                <w:lang w:val="ru-RU"/>
              </w:rPr>
              <w:t xml:space="preserve"> </w:t>
            </w:r>
            <w:proofErr w:type="spellStart"/>
            <w:r>
              <w:rPr>
                <w:b/>
                <w:lang w:val="ru-RU"/>
              </w:rPr>
              <w:t>of</w:t>
            </w:r>
            <w:proofErr w:type="spellEnd"/>
            <w:r>
              <w:rPr>
                <w:b/>
                <w:lang w:val="ru-RU"/>
              </w:rPr>
              <w:t xml:space="preserve"> </w:t>
            </w:r>
            <w:proofErr w:type="spellStart"/>
            <w:r>
              <w:rPr>
                <w:b/>
                <w:lang w:val="ru-RU"/>
              </w:rPr>
              <w:t>employees</w:t>
            </w:r>
            <w:proofErr w:type="spellEnd"/>
          </w:p>
        </w:tc>
        <w:tc>
          <w:tcPr>
            <w:tcW w:w="1009" w:type="pct"/>
            <w:shd w:val="clear" w:color="auto" w:fill="auto"/>
            <w:vAlign w:val="center"/>
            <w:hideMark/>
          </w:tcPr>
          <w:p w:rsidR="00B9031B" w:rsidRPr="00836721" w:rsidRDefault="00B9031B" w:rsidP="007C4502">
            <w:pPr>
              <w:jc w:val="center"/>
              <w:rPr>
                <w:b/>
                <w:lang w:val="ru-RU"/>
              </w:rPr>
            </w:pPr>
            <w:proofErr w:type="spellStart"/>
            <w:r>
              <w:rPr>
                <w:b/>
                <w:lang w:val="ru-RU"/>
              </w:rPr>
              <w:t>Amount</w:t>
            </w:r>
            <w:proofErr w:type="spellEnd"/>
            <w:r>
              <w:rPr>
                <w:b/>
                <w:lang w:val="ru-RU"/>
              </w:rPr>
              <w:t>*</w:t>
            </w:r>
            <w:r w:rsidRPr="00836721">
              <w:rPr>
                <w:b/>
                <w:lang w:val="ru-RU"/>
              </w:rPr>
              <w:t xml:space="preserve">, </w:t>
            </w:r>
            <w:r>
              <w:rPr>
                <w:b/>
                <w:lang w:val="ru-RU"/>
              </w:rPr>
              <w:br/>
            </w:r>
            <w:proofErr w:type="spellStart"/>
            <w:r>
              <w:rPr>
                <w:b/>
                <w:lang w:val="ru-RU"/>
              </w:rPr>
              <w:t>thous</w:t>
            </w:r>
            <w:proofErr w:type="spellEnd"/>
            <w:r>
              <w:rPr>
                <w:b/>
                <w:lang w:val="ru-RU"/>
              </w:rPr>
              <w:t>. RUB</w:t>
            </w:r>
            <w:r w:rsidRPr="00836721">
              <w:rPr>
                <w:b/>
                <w:lang w:val="ru-RU"/>
              </w:rPr>
              <w:t>.</w:t>
            </w:r>
          </w:p>
        </w:tc>
      </w:tr>
      <w:tr w:rsidR="00DD79E1" w:rsidRPr="00DD79E1" w:rsidTr="004E5F81">
        <w:trPr>
          <w:trHeight w:val="276"/>
        </w:trPr>
        <w:tc>
          <w:tcPr>
            <w:tcW w:w="2969" w:type="pct"/>
            <w:shd w:val="clear" w:color="auto" w:fill="auto"/>
            <w:noWrap/>
            <w:vAlign w:val="center"/>
            <w:hideMark/>
          </w:tcPr>
          <w:p w:rsidR="00DD79E1" w:rsidRPr="00DD79E1" w:rsidRDefault="00156130" w:rsidP="00CB2743">
            <w:pPr>
              <w:rPr>
                <w:b/>
                <w:bCs/>
                <w:color w:val="000000"/>
                <w:sz w:val="24"/>
                <w:szCs w:val="24"/>
                <w:lang w:val="ru-RU" w:eastAsia="ru-RU"/>
              </w:rPr>
            </w:pPr>
            <w:r>
              <w:rPr>
                <w:b/>
                <w:lang w:val="ru-RU"/>
              </w:rPr>
              <w:t xml:space="preserve">IDGC </w:t>
            </w:r>
            <w:proofErr w:type="spellStart"/>
            <w:r>
              <w:rPr>
                <w:b/>
                <w:lang w:val="ru-RU"/>
              </w:rPr>
              <w:t>of</w:t>
            </w:r>
            <w:proofErr w:type="spellEnd"/>
            <w:r>
              <w:rPr>
                <w:b/>
                <w:lang w:val="ru-RU"/>
              </w:rPr>
              <w:t xml:space="preserve"> </w:t>
            </w:r>
            <w:proofErr w:type="spellStart"/>
            <w:r>
              <w:rPr>
                <w:b/>
                <w:lang w:val="ru-RU"/>
              </w:rPr>
              <w:t>Centre</w:t>
            </w:r>
            <w:proofErr w:type="spellEnd"/>
          </w:p>
        </w:tc>
        <w:tc>
          <w:tcPr>
            <w:tcW w:w="1022" w:type="pct"/>
            <w:shd w:val="clear" w:color="auto" w:fill="auto"/>
            <w:noWrap/>
            <w:vAlign w:val="center"/>
            <w:hideMark/>
          </w:tcPr>
          <w:p w:rsidR="00DD79E1" w:rsidRPr="00DD79E1" w:rsidRDefault="00DD79E1" w:rsidP="00CB2743">
            <w:pPr>
              <w:rPr>
                <w:color w:val="000000"/>
                <w:sz w:val="24"/>
                <w:szCs w:val="24"/>
                <w:lang w:val="ru-RU" w:eastAsia="ru-RU"/>
              </w:rPr>
            </w:pPr>
            <w:r w:rsidRPr="00DD79E1">
              <w:rPr>
                <w:color w:val="000000"/>
                <w:sz w:val="24"/>
                <w:szCs w:val="24"/>
                <w:lang w:val="ru-RU" w:eastAsia="ru-RU"/>
              </w:rPr>
              <w:t> </w:t>
            </w:r>
          </w:p>
        </w:tc>
        <w:tc>
          <w:tcPr>
            <w:tcW w:w="1009" w:type="pct"/>
            <w:shd w:val="clear" w:color="auto" w:fill="auto"/>
            <w:noWrap/>
            <w:vAlign w:val="center"/>
            <w:hideMark/>
          </w:tcPr>
          <w:p w:rsidR="00DD79E1" w:rsidRPr="00DD79E1" w:rsidRDefault="00DD79E1" w:rsidP="00CB2743">
            <w:pPr>
              <w:rPr>
                <w:color w:val="000000"/>
                <w:sz w:val="24"/>
                <w:szCs w:val="24"/>
                <w:lang w:val="ru-RU" w:eastAsia="ru-RU"/>
              </w:rPr>
            </w:pPr>
            <w:r w:rsidRPr="00DD79E1">
              <w:rPr>
                <w:color w:val="000000"/>
                <w:sz w:val="24"/>
                <w:szCs w:val="24"/>
                <w:lang w:val="ru-RU" w:eastAsia="ru-RU"/>
              </w:rPr>
              <w:t> </w:t>
            </w:r>
          </w:p>
        </w:tc>
      </w:tr>
      <w:tr w:rsidR="00B9031B" w:rsidRPr="00DD79E1" w:rsidTr="004E5F81">
        <w:trPr>
          <w:trHeight w:val="300"/>
        </w:trPr>
        <w:tc>
          <w:tcPr>
            <w:tcW w:w="2969" w:type="pct"/>
            <w:shd w:val="clear" w:color="auto" w:fill="auto"/>
            <w:vAlign w:val="center"/>
            <w:hideMark/>
          </w:tcPr>
          <w:p w:rsidR="00B9031B" w:rsidRPr="00976CE1" w:rsidRDefault="00B9031B" w:rsidP="007C4502">
            <w:pPr>
              <w:rPr>
                <w:lang w:val="en-US" w:eastAsia="ru-RU"/>
              </w:rPr>
            </w:pPr>
            <w:r>
              <w:rPr>
                <w:lang w:val="en-US" w:eastAsia="ru-RU"/>
              </w:rPr>
              <w:t>E</w:t>
            </w:r>
            <w:r w:rsidRPr="00976CE1">
              <w:rPr>
                <w:lang w:val="en-US" w:eastAsia="ru-RU"/>
              </w:rPr>
              <w:t>mployees classified as «Top managers»</w:t>
            </w:r>
          </w:p>
        </w:tc>
        <w:tc>
          <w:tcPr>
            <w:tcW w:w="1022" w:type="pct"/>
            <w:shd w:val="clear" w:color="auto" w:fill="auto"/>
            <w:noWrap/>
            <w:vAlign w:val="center"/>
            <w:hideMark/>
          </w:tcPr>
          <w:p w:rsidR="00B9031B" w:rsidRPr="00DD79E1" w:rsidRDefault="00B9031B" w:rsidP="00CB2743">
            <w:pPr>
              <w:jc w:val="center"/>
              <w:rPr>
                <w:lang w:val="ru-RU" w:eastAsia="ru-RU"/>
              </w:rPr>
            </w:pPr>
            <w:r w:rsidRPr="00DD79E1">
              <w:rPr>
                <w:lang w:val="ru-RU" w:eastAsia="ru-RU"/>
              </w:rPr>
              <w:t>33</w:t>
            </w:r>
          </w:p>
        </w:tc>
        <w:tc>
          <w:tcPr>
            <w:tcW w:w="1009" w:type="pct"/>
            <w:shd w:val="clear" w:color="auto" w:fill="auto"/>
            <w:noWrap/>
            <w:vAlign w:val="center"/>
            <w:hideMark/>
          </w:tcPr>
          <w:p w:rsidR="00B9031B" w:rsidRPr="00DD79E1" w:rsidRDefault="00B9031B" w:rsidP="00492C5A">
            <w:pPr>
              <w:jc w:val="right"/>
              <w:rPr>
                <w:lang w:val="ru-RU" w:eastAsia="ru-RU"/>
              </w:rPr>
            </w:pPr>
            <w:r w:rsidRPr="00DD79E1">
              <w:rPr>
                <w:lang w:val="ru-RU" w:eastAsia="ru-RU"/>
              </w:rPr>
              <w:t>164 548</w:t>
            </w:r>
          </w:p>
        </w:tc>
      </w:tr>
      <w:tr w:rsidR="00B9031B" w:rsidRPr="00DD79E1" w:rsidTr="004E5F81">
        <w:trPr>
          <w:trHeight w:val="276"/>
        </w:trPr>
        <w:tc>
          <w:tcPr>
            <w:tcW w:w="2969" w:type="pct"/>
            <w:shd w:val="clear" w:color="auto" w:fill="auto"/>
            <w:noWrap/>
            <w:vAlign w:val="center"/>
            <w:hideMark/>
          </w:tcPr>
          <w:p w:rsidR="00B9031B" w:rsidRPr="00001398" w:rsidRDefault="00B9031B" w:rsidP="007C4502">
            <w:pPr>
              <w:rPr>
                <w:lang w:val="en-US" w:eastAsia="ru-RU"/>
              </w:rPr>
            </w:pPr>
            <w:r>
              <w:rPr>
                <w:lang w:val="en-US" w:eastAsia="ru-RU"/>
              </w:rPr>
              <w:t>M</w:t>
            </w:r>
            <w:r w:rsidRPr="00001398">
              <w:rPr>
                <w:lang w:val="en-US" w:eastAsia="ru-RU"/>
              </w:rPr>
              <w:t>embers of the Management Board</w:t>
            </w:r>
          </w:p>
        </w:tc>
        <w:tc>
          <w:tcPr>
            <w:tcW w:w="1022" w:type="pct"/>
            <w:shd w:val="clear" w:color="auto" w:fill="auto"/>
            <w:noWrap/>
            <w:vAlign w:val="center"/>
            <w:hideMark/>
          </w:tcPr>
          <w:p w:rsidR="00B9031B" w:rsidRPr="00DD79E1" w:rsidRDefault="00B9031B" w:rsidP="00CB2743">
            <w:pPr>
              <w:jc w:val="center"/>
              <w:rPr>
                <w:lang w:val="ru-RU" w:eastAsia="ru-RU"/>
              </w:rPr>
            </w:pPr>
            <w:r w:rsidRPr="00DD79E1">
              <w:rPr>
                <w:lang w:val="ru-RU" w:eastAsia="ru-RU"/>
              </w:rPr>
              <w:t>10</w:t>
            </w:r>
          </w:p>
        </w:tc>
        <w:tc>
          <w:tcPr>
            <w:tcW w:w="1009" w:type="pct"/>
            <w:shd w:val="clear" w:color="auto" w:fill="auto"/>
            <w:noWrap/>
            <w:vAlign w:val="center"/>
            <w:hideMark/>
          </w:tcPr>
          <w:p w:rsidR="00B9031B" w:rsidRPr="00DD79E1" w:rsidRDefault="00B9031B" w:rsidP="00492C5A">
            <w:pPr>
              <w:jc w:val="right"/>
              <w:rPr>
                <w:lang w:val="ru-RU" w:eastAsia="ru-RU"/>
              </w:rPr>
            </w:pPr>
            <w:r w:rsidRPr="00DD79E1">
              <w:rPr>
                <w:lang w:val="ru-RU" w:eastAsia="ru-RU"/>
              </w:rPr>
              <w:t>833</w:t>
            </w:r>
          </w:p>
        </w:tc>
      </w:tr>
      <w:tr w:rsidR="00B9031B" w:rsidRPr="00DD79E1" w:rsidTr="004E5F81">
        <w:trPr>
          <w:trHeight w:val="276"/>
        </w:trPr>
        <w:tc>
          <w:tcPr>
            <w:tcW w:w="2969" w:type="pct"/>
            <w:shd w:val="clear" w:color="auto" w:fill="auto"/>
            <w:noWrap/>
            <w:vAlign w:val="center"/>
            <w:hideMark/>
          </w:tcPr>
          <w:p w:rsidR="00B9031B" w:rsidRPr="00001398" w:rsidRDefault="00B9031B" w:rsidP="007C4502">
            <w:pPr>
              <w:rPr>
                <w:lang w:val="en-US" w:eastAsia="ru-RU"/>
              </w:rPr>
            </w:pPr>
            <w:r w:rsidRPr="00001398">
              <w:rPr>
                <w:lang w:val="en-US" w:eastAsia="ru-RU"/>
              </w:rPr>
              <w:t>Members of the Board of Directors</w:t>
            </w:r>
          </w:p>
        </w:tc>
        <w:tc>
          <w:tcPr>
            <w:tcW w:w="1022" w:type="pct"/>
            <w:shd w:val="clear" w:color="auto" w:fill="auto"/>
            <w:noWrap/>
            <w:vAlign w:val="center"/>
            <w:hideMark/>
          </w:tcPr>
          <w:p w:rsidR="00B9031B" w:rsidRPr="00DD79E1" w:rsidRDefault="00B9031B" w:rsidP="00CB2743">
            <w:pPr>
              <w:jc w:val="center"/>
              <w:rPr>
                <w:lang w:val="ru-RU" w:eastAsia="ru-RU"/>
              </w:rPr>
            </w:pPr>
            <w:r w:rsidRPr="00DD79E1">
              <w:rPr>
                <w:lang w:val="ru-RU" w:eastAsia="ru-RU"/>
              </w:rPr>
              <w:t>25</w:t>
            </w:r>
          </w:p>
        </w:tc>
        <w:tc>
          <w:tcPr>
            <w:tcW w:w="1009" w:type="pct"/>
            <w:shd w:val="clear" w:color="auto" w:fill="auto"/>
            <w:noWrap/>
            <w:vAlign w:val="center"/>
            <w:hideMark/>
          </w:tcPr>
          <w:p w:rsidR="00B9031B" w:rsidRPr="00DD79E1" w:rsidRDefault="00B9031B" w:rsidP="00492C5A">
            <w:pPr>
              <w:jc w:val="right"/>
              <w:rPr>
                <w:lang w:val="ru-RU" w:eastAsia="ru-RU"/>
              </w:rPr>
            </w:pPr>
            <w:r w:rsidRPr="00DD79E1">
              <w:rPr>
                <w:lang w:val="ru-RU" w:eastAsia="ru-RU"/>
              </w:rPr>
              <w:t>34 642</w:t>
            </w:r>
          </w:p>
        </w:tc>
      </w:tr>
      <w:tr w:rsidR="00B9031B" w:rsidRPr="00DD79E1" w:rsidTr="004E5F81">
        <w:trPr>
          <w:trHeight w:val="276"/>
        </w:trPr>
        <w:tc>
          <w:tcPr>
            <w:tcW w:w="2969" w:type="pct"/>
            <w:shd w:val="clear" w:color="auto" w:fill="auto"/>
            <w:noWrap/>
            <w:vAlign w:val="center"/>
            <w:hideMark/>
          </w:tcPr>
          <w:p w:rsidR="00B9031B" w:rsidRPr="00001398" w:rsidRDefault="00B9031B" w:rsidP="007C4502">
            <w:pPr>
              <w:rPr>
                <w:lang w:val="en-US" w:eastAsia="ru-RU"/>
              </w:rPr>
            </w:pPr>
            <w:r w:rsidRPr="00001398">
              <w:rPr>
                <w:lang w:val="en-US" w:eastAsia="ru-RU"/>
              </w:rPr>
              <w:t>Members of the Audit Commission</w:t>
            </w:r>
          </w:p>
        </w:tc>
        <w:tc>
          <w:tcPr>
            <w:tcW w:w="1022" w:type="pct"/>
            <w:shd w:val="clear" w:color="auto" w:fill="auto"/>
            <w:noWrap/>
            <w:vAlign w:val="center"/>
            <w:hideMark/>
          </w:tcPr>
          <w:p w:rsidR="00B9031B" w:rsidRPr="00DD79E1" w:rsidRDefault="00B9031B" w:rsidP="00CB2743">
            <w:pPr>
              <w:jc w:val="center"/>
              <w:rPr>
                <w:lang w:val="ru-RU" w:eastAsia="ru-RU"/>
              </w:rPr>
            </w:pPr>
            <w:r w:rsidRPr="00DD79E1">
              <w:rPr>
                <w:lang w:val="ru-RU" w:eastAsia="ru-RU"/>
              </w:rPr>
              <w:t>8</w:t>
            </w:r>
          </w:p>
        </w:tc>
        <w:tc>
          <w:tcPr>
            <w:tcW w:w="1009" w:type="pct"/>
            <w:shd w:val="clear" w:color="auto" w:fill="auto"/>
            <w:noWrap/>
            <w:vAlign w:val="center"/>
            <w:hideMark/>
          </w:tcPr>
          <w:p w:rsidR="00B9031B" w:rsidRPr="00DD79E1" w:rsidRDefault="00B9031B" w:rsidP="00492C5A">
            <w:pPr>
              <w:jc w:val="right"/>
              <w:rPr>
                <w:lang w:val="ru-RU" w:eastAsia="ru-RU"/>
              </w:rPr>
            </w:pPr>
            <w:r w:rsidRPr="00DD79E1">
              <w:rPr>
                <w:lang w:val="ru-RU" w:eastAsia="ru-RU"/>
              </w:rPr>
              <w:t>2 636</w:t>
            </w:r>
          </w:p>
        </w:tc>
      </w:tr>
      <w:tr w:rsidR="00B9031B" w:rsidRPr="00DD79E1" w:rsidTr="004E5F81">
        <w:trPr>
          <w:trHeight w:val="318"/>
        </w:trPr>
        <w:tc>
          <w:tcPr>
            <w:tcW w:w="2969" w:type="pct"/>
            <w:shd w:val="clear" w:color="auto" w:fill="auto"/>
            <w:noWrap/>
            <w:vAlign w:val="center"/>
            <w:hideMark/>
          </w:tcPr>
          <w:p w:rsidR="00B9031B" w:rsidRPr="00001398" w:rsidRDefault="00B9031B" w:rsidP="007C4502">
            <w:pPr>
              <w:rPr>
                <w:lang w:val="en-US" w:eastAsia="ru-RU"/>
              </w:rPr>
            </w:pPr>
            <w:r w:rsidRPr="00001398">
              <w:rPr>
                <w:lang w:val="en-US" w:eastAsia="ru-RU"/>
              </w:rPr>
              <w:t xml:space="preserve">Members of Committees </w:t>
            </w:r>
            <w:r>
              <w:rPr>
                <w:lang w:val="en-US" w:eastAsia="ru-RU"/>
              </w:rPr>
              <w:t>under</w:t>
            </w:r>
            <w:r w:rsidRPr="00001398">
              <w:rPr>
                <w:lang w:val="en-US" w:eastAsia="ru-RU"/>
              </w:rPr>
              <w:t xml:space="preserve"> the Board of Directors</w:t>
            </w:r>
          </w:p>
        </w:tc>
        <w:tc>
          <w:tcPr>
            <w:tcW w:w="1022" w:type="pct"/>
            <w:shd w:val="clear" w:color="auto" w:fill="auto"/>
            <w:noWrap/>
            <w:vAlign w:val="center"/>
            <w:hideMark/>
          </w:tcPr>
          <w:p w:rsidR="00B9031B" w:rsidRPr="00DD79E1" w:rsidRDefault="00B9031B" w:rsidP="00493A73">
            <w:pPr>
              <w:jc w:val="center"/>
              <w:rPr>
                <w:lang w:val="ru-RU" w:eastAsia="ru-RU"/>
              </w:rPr>
            </w:pPr>
            <w:r w:rsidRPr="00DD79E1">
              <w:rPr>
                <w:lang w:val="ru-RU" w:eastAsia="ru-RU"/>
              </w:rPr>
              <w:t>32</w:t>
            </w:r>
          </w:p>
        </w:tc>
        <w:tc>
          <w:tcPr>
            <w:tcW w:w="1009" w:type="pct"/>
            <w:shd w:val="clear" w:color="auto" w:fill="auto"/>
            <w:noWrap/>
            <w:vAlign w:val="center"/>
            <w:hideMark/>
          </w:tcPr>
          <w:p w:rsidR="00B9031B" w:rsidRPr="00DD79E1" w:rsidRDefault="00B9031B" w:rsidP="00492C5A">
            <w:pPr>
              <w:jc w:val="right"/>
              <w:rPr>
                <w:lang w:val="ru-RU" w:eastAsia="ru-RU"/>
              </w:rPr>
            </w:pPr>
            <w:r w:rsidRPr="00DD79E1">
              <w:rPr>
                <w:lang w:val="ru-RU" w:eastAsia="ru-RU"/>
              </w:rPr>
              <w:t>2 764</w:t>
            </w:r>
          </w:p>
        </w:tc>
      </w:tr>
      <w:tr w:rsidR="00DD79E1" w:rsidRPr="00DD79E1" w:rsidTr="004E5F81">
        <w:trPr>
          <w:trHeight w:val="276"/>
        </w:trPr>
        <w:tc>
          <w:tcPr>
            <w:tcW w:w="2969" w:type="pct"/>
            <w:shd w:val="clear" w:color="auto" w:fill="auto"/>
            <w:noWrap/>
            <w:vAlign w:val="center"/>
            <w:hideMark/>
          </w:tcPr>
          <w:p w:rsidR="00DD79E1" w:rsidRPr="00DD79E1" w:rsidRDefault="00B9031B" w:rsidP="00CB2743">
            <w:pPr>
              <w:jc w:val="center"/>
              <w:rPr>
                <w:b/>
                <w:lang w:val="ru-RU"/>
              </w:rPr>
            </w:pPr>
            <w:r>
              <w:rPr>
                <w:b/>
                <w:lang w:val="en-US"/>
              </w:rPr>
              <w:t>TOTAL</w:t>
            </w:r>
          </w:p>
        </w:tc>
        <w:tc>
          <w:tcPr>
            <w:tcW w:w="1022" w:type="pct"/>
            <w:shd w:val="clear" w:color="auto" w:fill="auto"/>
            <w:noWrap/>
            <w:vAlign w:val="center"/>
            <w:hideMark/>
          </w:tcPr>
          <w:p w:rsidR="00DD79E1" w:rsidRPr="00DD79E1" w:rsidRDefault="00DD79E1" w:rsidP="00CB2743">
            <w:pPr>
              <w:jc w:val="center"/>
              <w:rPr>
                <w:b/>
                <w:lang w:val="ru-RU"/>
              </w:rPr>
            </w:pPr>
            <w:r w:rsidRPr="00DD79E1">
              <w:rPr>
                <w:b/>
                <w:lang w:val="ru-RU"/>
              </w:rPr>
              <w:t>108</w:t>
            </w:r>
          </w:p>
        </w:tc>
        <w:tc>
          <w:tcPr>
            <w:tcW w:w="1009" w:type="pct"/>
            <w:shd w:val="clear" w:color="auto" w:fill="auto"/>
            <w:noWrap/>
            <w:vAlign w:val="center"/>
            <w:hideMark/>
          </w:tcPr>
          <w:p w:rsidR="00DD79E1" w:rsidRPr="00DD79E1" w:rsidRDefault="00DD79E1" w:rsidP="00492C5A">
            <w:pPr>
              <w:jc w:val="right"/>
              <w:rPr>
                <w:b/>
                <w:lang w:val="ru-RU"/>
              </w:rPr>
            </w:pPr>
            <w:r w:rsidRPr="00DD79E1">
              <w:rPr>
                <w:b/>
                <w:lang w:val="ru-RU"/>
              </w:rPr>
              <w:t>205 423</w:t>
            </w:r>
          </w:p>
        </w:tc>
      </w:tr>
    </w:tbl>
    <w:p w:rsidR="00F82124" w:rsidRPr="00DD79E1" w:rsidRDefault="00F82124" w:rsidP="00F82124">
      <w:pPr>
        <w:jc w:val="center"/>
        <w:rPr>
          <w:lang w:val="ru-RU"/>
        </w:rPr>
      </w:pPr>
    </w:p>
    <w:p w:rsidR="00F82124" w:rsidRPr="001462CD" w:rsidRDefault="00F82124" w:rsidP="00F82124">
      <w:pPr>
        <w:ind w:firstLine="709"/>
        <w:rPr>
          <w:sz w:val="21"/>
          <w:szCs w:val="21"/>
          <w:lang w:val="en-US"/>
        </w:rPr>
      </w:pPr>
      <w:r w:rsidRPr="001462CD">
        <w:rPr>
          <w:sz w:val="21"/>
          <w:szCs w:val="21"/>
          <w:lang w:val="en-US"/>
        </w:rPr>
        <w:t xml:space="preserve">* </w:t>
      </w:r>
      <w:proofErr w:type="gramStart"/>
      <w:r w:rsidR="001462CD" w:rsidRPr="00CC369B">
        <w:rPr>
          <w:sz w:val="21"/>
          <w:szCs w:val="21"/>
          <w:lang w:val="en-US"/>
        </w:rPr>
        <w:t>the</w:t>
      </w:r>
      <w:proofErr w:type="gramEnd"/>
      <w:r w:rsidR="001462CD" w:rsidRPr="00CC369B">
        <w:rPr>
          <w:sz w:val="21"/>
          <w:szCs w:val="21"/>
          <w:lang w:val="en-US"/>
        </w:rPr>
        <w:t xml:space="preserve"> amount is shown, including accrued taxes and mandatory payments to the appropriate budgets and off-budget funds</w:t>
      </w:r>
      <w:r w:rsidRPr="001462CD">
        <w:rPr>
          <w:sz w:val="21"/>
          <w:szCs w:val="21"/>
          <w:lang w:val="en-US"/>
        </w:rPr>
        <w:t>.</w:t>
      </w:r>
    </w:p>
    <w:p w:rsidR="003D3375" w:rsidRPr="001462CD" w:rsidRDefault="003D3375" w:rsidP="0002335A">
      <w:pPr>
        <w:pStyle w:val="af2"/>
        <w:ind w:firstLine="709"/>
        <w:jc w:val="both"/>
        <w:rPr>
          <w:rFonts w:ascii="13" w:hAnsi="13" w:cs="Times New Roman"/>
          <w:sz w:val="26"/>
          <w:szCs w:val="26"/>
          <w:lang w:val="en-US"/>
        </w:rPr>
      </w:pPr>
    </w:p>
    <w:p w:rsidR="008041DF" w:rsidRPr="001462CD" w:rsidRDefault="008041DF" w:rsidP="0002335A">
      <w:pPr>
        <w:pStyle w:val="af2"/>
        <w:ind w:firstLine="709"/>
        <w:jc w:val="both"/>
        <w:rPr>
          <w:rFonts w:ascii="13" w:hAnsi="13" w:cs="Times New Roman"/>
          <w:sz w:val="26"/>
          <w:szCs w:val="26"/>
          <w:lang w:val="en-US"/>
        </w:rPr>
      </w:pPr>
    </w:p>
    <w:p w:rsidR="00574BAF" w:rsidRPr="00C60265" w:rsidRDefault="00A15029" w:rsidP="00E37AB5">
      <w:pPr>
        <w:pStyle w:val="8"/>
        <w:numPr>
          <w:ilvl w:val="1"/>
          <w:numId w:val="7"/>
        </w:numPr>
      </w:pPr>
      <w:proofErr w:type="spellStart"/>
      <w:r w:rsidRPr="0082031A">
        <w:t>Information</w:t>
      </w:r>
      <w:proofErr w:type="spellEnd"/>
      <w:r w:rsidRPr="0082031A">
        <w:t xml:space="preserve"> </w:t>
      </w:r>
      <w:proofErr w:type="spellStart"/>
      <w:r w:rsidRPr="0082031A">
        <w:t>on</w:t>
      </w:r>
      <w:proofErr w:type="spellEnd"/>
      <w:r w:rsidRPr="0082031A">
        <w:t xml:space="preserve"> </w:t>
      </w:r>
      <w:proofErr w:type="spellStart"/>
      <w:r w:rsidRPr="0082031A">
        <w:t>segments</w:t>
      </w:r>
      <w:proofErr w:type="spellEnd"/>
    </w:p>
    <w:p w:rsidR="00574BAF" w:rsidRPr="00836721" w:rsidRDefault="00574BAF" w:rsidP="00574BAF">
      <w:pPr>
        <w:pStyle w:val="af2"/>
        <w:ind w:left="720"/>
        <w:jc w:val="both"/>
        <w:rPr>
          <w:rFonts w:ascii="13" w:hAnsi="13"/>
          <w:b/>
          <w:sz w:val="26"/>
          <w:szCs w:val="26"/>
        </w:rPr>
      </w:pPr>
    </w:p>
    <w:p w:rsidR="006E1A41" w:rsidRPr="0043565A" w:rsidRDefault="0043565A" w:rsidP="006F7B5B">
      <w:pPr>
        <w:pStyle w:val="af2"/>
        <w:ind w:firstLine="709"/>
        <w:jc w:val="both"/>
        <w:rPr>
          <w:sz w:val="24"/>
          <w:szCs w:val="24"/>
          <w:lang w:val="en-US"/>
        </w:rPr>
      </w:pPr>
      <w:r w:rsidRPr="00837D5C">
        <w:rPr>
          <w:rFonts w:ascii="Times New Roman" w:eastAsia="Times New Roman" w:hAnsi="Times New Roman" w:cs="Times New Roman"/>
          <w:sz w:val="24"/>
          <w:szCs w:val="24"/>
          <w:lang w:val="en-US" w:eastAsia="ru-RU"/>
        </w:rPr>
        <w:lastRenderedPageBreak/>
        <w:t xml:space="preserve">The information on segments is included in the explanatory note to the accounting balance sheet and the profit and loss statement in table 5.13. </w:t>
      </w:r>
      <w:proofErr w:type="gramStart"/>
      <w:r w:rsidRPr="00837D5C">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val="en-US" w:eastAsia="ru-RU"/>
        </w:rPr>
        <w:t>nd</w:t>
      </w:r>
      <w:proofErr w:type="gramEnd"/>
      <w:r>
        <w:rPr>
          <w:rFonts w:ascii="Times New Roman" w:eastAsia="Times New Roman" w:hAnsi="Times New Roman" w:cs="Times New Roman"/>
          <w:sz w:val="24"/>
          <w:szCs w:val="24"/>
          <w:lang w:val="en-US" w:eastAsia="ru-RU"/>
        </w:rPr>
        <w:t xml:space="preserve"> </w:t>
      </w:r>
      <w:r w:rsidRPr="00837D5C">
        <w:rPr>
          <w:rFonts w:ascii="Times New Roman" w:eastAsia="Times New Roman" w:hAnsi="Times New Roman" w:cs="Times New Roman"/>
          <w:sz w:val="24"/>
          <w:szCs w:val="24"/>
          <w:lang w:val="en-US" w:eastAsia="ru-RU"/>
        </w:rPr>
        <w:t>Appendi</w:t>
      </w:r>
      <w:r>
        <w:rPr>
          <w:rFonts w:ascii="Times New Roman" w:eastAsia="Times New Roman" w:hAnsi="Times New Roman" w:cs="Times New Roman"/>
          <w:sz w:val="24"/>
          <w:szCs w:val="24"/>
          <w:lang w:val="en-US" w:eastAsia="ru-RU"/>
        </w:rPr>
        <w:t>x #</w:t>
      </w:r>
      <w:r w:rsidR="00D54049" w:rsidRPr="0043565A">
        <w:rPr>
          <w:rFonts w:ascii="Times New Roman" w:eastAsia="Times New Roman" w:hAnsi="Times New Roman" w:cs="Times New Roman"/>
          <w:sz w:val="24"/>
          <w:szCs w:val="24"/>
          <w:lang w:val="en-US" w:eastAsia="ru-RU"/>
        </w:rPr>
        <w:t>1</w:t>
      </w:r>
      <w:r w:rsidR="00DA3E52" w:rsidRPr="0043565A">
        <w:rPr>
          <w:rFonts w:ascii="Times New Roman" w:eastAsia="Times New Roman" w:hAnsi="Times New Roman" w:cs="Times New Roman"/>
          <w:sz w:val="24"/>
          <w:szCs w:val="24"/>
          <w:lang w:val="en-US" w:eastAsia="ru-RU"/>
        </w:rPr>
        <w:t>.</w:t>
      </w:r>
    </w:p>
    <w:p w:rsidR="00C542AD" w:rsidRPr="0043565A" w:rsidRDefault="00C542AD" w:rsidP="006F7B5B">
      <w:pPr>
        <w:jc w:val="both"/>
        <w:rPr>
          <w:sz w:val="24"/>
          <w:szCs w:val="24"/>
          <w:lang w:val="en-US" w:eastAsia="ru-RU"/>
        </w:rPr>
      </w:pPr>
    </w:p>
    <w:p w:rsidR="00073F22" w:rsidRPr="0006565E" w:rsidRDefault="0043565A" w:rsidP="006F7B5B">
      <w:pPr>
        <w:ind w:firstLine="709"/>
        <w:jc w:val="both"/>
        <w:rPr>
          <w:sz w:val="24"/>
          <w:szCs w:val="24"/>
          <w:lang w:val="en-US" w:eastAsia="ru-RU"/>
        </w:rPr>
      </w:pPr>
      <w:r>
        <w:rPr>
          <w:sz w:val="24"/>
          <w:szCs w:val="24"/>
          <w:lang w:val="en-US" w:eastAsia="ru-RU"/>
        </w:rPr>
        <w:t>For</w:t>
      </w:r>
      <w:r w:rsidR="006E1A41" w:rsidRPr="0006565E">
        <w:rPr>
          <w:sz w:val="24"/>
          <w:szCs w:val="24"/>
          <w:lang w:val="en-US" w:eastAsia="ru-RU"/>
        </w:rPr>
        <w:t xml:space="preserve"> 201</w:t>
      </w:r>
      <w:r w:rsidR="00C95318" w:rsidRPr="0006565E">
        <w:rPr>
          <w:sz w:val="24"/>
          <w:szCs w:val="24"/>
          <w:lang w:val="en-US" w:eastAsia="ru-RU"/>
        </w:rPr>
        <w:t>4</w:t>
      </w:r>
      <w:r w:rsidR="006E1A41" w:rsidRPr="0006565E">
        <w:rPr>
          <w:sz w:val="24"/>
          <w:szCs w:val="24"/>
          <w:lang w:val="en-US" w:eastAsia="ru-RU"/>
        </w:rPr>
        <w:t xml:space="preserve"> </w:t>
      </w:r>
      <w:r w:rsidR="0006565E">
        <w:rPr>
          <w:sz w:val="24"/>
          <w:szCs w:val="24"/>
          <w:lang w:val="en-US" w:eastAsia="ru-RU"/>
        </w:rPr>
        <w:t>the</w:t>
      </w:r>
      <w:r w:rsidR="0006565E" w:rsidRPr="0082031A">
        <w:rPr>
          <w:sz w:val="24"/>
          <w:szCs w:val="24"/>
          <w:lang w:val="en-US" w:eastAsia="ru-RU"/>
        </w:rPr>
        <w:t xml:space="preserve"> </w:t>
      </w:r>
      <w:r w:rsidR="0006565E">
        <w:rPr>
          <w:sz w:val="24"/>
          <w:szCs w:val="24"/>
          <w:lang w:val="en-US" w:eastAsia="ru-RU"/>
        </w:rPr>
        <w:t>Company</w:t>
      </w:r>
      <w:r w:rsidR="0006565E" w:rsidRPr="0082031A">
        <w:rPr>
          <w:lang w:val="en-US"/>
        </w:rPr>
        <w:t xml:space="preserve"> </w:t>
      </w:r>
      <w:r w:rsidR="0006565E" w:rsidRPr="0082031A">
        <w:rPr>
          <w:sz w:val="24"/>
          <w:szCs w:val="24"/>
          <w:lang w:val="en-US" w:eastAsia="ru-RU"/>
        </w:rPr>
        <w:t xml:space="preserve">received the revenue </w:t>
      </w:r>
      <w:r w:rsidR="0006565E">
        <w:rPr>
          <w:sz w:val="24"/>
          <w:szCs w:val="24"/>
          <w:lang w:val="en-US" w:eastAsia="ru-RU"/>
        </w:rPr>
        <w:t>from</w:t>
      </w:r>
      <w:r w:rsidR="0006565E" w:rsidRPr="0082031A">
        <w:rPr>
          <w:sz w:val="24"/>
          <w:szCs w:val="24"/>
          <w:lang w:val="en-US" w:eastAsia="ru-RU"/>
        </w:rPr>
        <w:t xml:space="preserve"> OJSC "Belgorod Retail Company" (</w:t>
      </w:r>
      <w:r w:rsidR="0006565E">
        <w:rPr>
          <w:sz w:val="24"/>
          <w:szCs w:val="24"/>
          <w:lang w:val="en-US" w:eastAsia="ru-RU"/>
        </w:rPr>
        <w:t xml:space="preserve">branch </w:t>
      </w:r>
      <w:r w:rsidR="0006565E" w:rsidRPr="0082031A">
        <w:rPr>
          <w:sz w:val="24"/>
          <w:szCs w:val="24"/>
          <w:lang w:val="en-US" w:eastAsia="ru-RU"/>
        </w:rPr>
        <w:t>«</w:t>
      </w:r>
      <w:proofErr w:type="spellStart"/>
      <w:r w:rsidR="0006565E">
        <w:rPr>
          <w:sz w:val="24"/>
          <w:szCs w:val="24"/>
          <w:lang w:val="en-US" w:eastAsia="ru-RU"/>
        </w:rPr>
        <w:t>Belgorodenergo</w:t>
      </w:r>
      <w:proofErr w:type="spellEnd"/>
      <w:r w:rsidR="0006565E" w:rsidRPr="0082031A">
        <w:rPr>
          <w:sz w:val="24"/>
          <w:szCs w:val="24"/>
          <w:lang w:val="en-US" w:eastAsia="ru-RU"/>
        </w:rPr>
        <w:t xml:space="preserve">») </w:t>
      </w:r>
      <w:r w:rsidR="0006565E">
        <w:rPr>
          <w:sz w:val="24"/>
          <w:szCs w:val="24"/>
          <w:lang w:val="en-US" w:eastAsia="ru-RU"/>
        </w:rPr>
        <w:t xml:space="preserve">in the amount of </w:t>
      </w:r>
      <w:r w:rsidR="00073F22" w:rsidRPr="0006565E">
        <w:rPr>
          <w:sz w:val="24"/>
          <w:szCs w:val="24"/>
          <w:lang w:val="en-US" w:eastAsia="ru-RU"/>
        </w:rPr>
        <w:t xml:space="preserve">10 126 451 </w:t>
      </w:r>
      <w:proofErr w:type="spellStart"/>
      <w:r w:rsidR="008F47BD" w:rsidRPr="0006565E">
        <w:rPr>
          <w:sz w:val="24"/>
          <w:szCs w:val="24"/>
          <w:lang w:val="en-US" w:eastAsia="ru-RU"/>
        </w:rPr>
        <w:t>thous</w:t>
      </w:r>
      <w:proofErr w:type="spellEnd"/>
      <w:r w:rsidR="008F47BD" w:rsidRPr="0006565E">
        <w:rPr>
          <w:sz w:val="24"/>
          <w:szCs w:val="24"/>
          <w:lang w:val="en-US" w:eastAsia="ru-RU"/>
        </w:rPr>
        <w:t>. RUB</w:t>
      </w:r>
      <w:r w:rsidR="00073F22" w:rsidRPr="0006565E">
        <w:rPr>
          <w:sz w:val="24"/>
          <w:szCs w:val="24"/>
          <w:lang w:val="en-US" w:eastAsia="ru-RU"/>
        </w:rPr>
        <w:t xml:space="preserve">, </w:t>
      </w:r>
      <w:r w:rsidR="0006565E">
        <w:rPr>
          <w:sz w:val="24"/>
          <w:szCs w:val="24"/>
          <w:lang w:val="en-US" w:eastAsia="ru-RU"/>
        </w:rPr>
        <w:t xml:space="preserve">which </w:t>
      </w:r>
      <w:r w:rsidR="0006565E" w:rsidRPr="0082031A">
        <w:rPr>
          <w:sz w:val="24"/>
          <w:szCs w:val="24"/>
          <w:lang w:val="en-US" w:eastAsia="ru-RU"/>
        </w:rPr>
        <w:t>account</w:t>
      </w:r>
      <w:r w:rsidR="0006565E">
        <w:rPr>
          <w:sz w:val="24"/>
          <w:szCs w:val="24"/>
          <w:lang w:val="en-US" w:eastAsia="ru-RU"/>
        </w:rPr>
        <w:t>ed</w:t>
      </w:r>
      <w:r w:rsidR="0006565E" w:rsidRPr="0082031A">
        <w:rPr>
          <w:sz w:val="24"/>
          <w:szCs w:val="24"/>
          <w:lang w:val="en-US" w:eastAsia="ru-RU"/>
        </w:rPr>
        <w:t xml:space="preserve"> for </w:t>
      </w:r>
      <w:r w:rsidR="0006565E">
        <w:rPr>
          <w:sz w:val="24"/>
          <w:szCs w:val="24"/>
          <w:lang w:val="en-US" w:eastAsia="ru-RU"/>
        </w:rPr>
        <w:t>above</w:t>
      </w:r>
      <w:r w:rsidR="0006565E" w:rsidRPr="0082031A">
        <w:rPr>
          <w:sz w:val="24"/>
          <w:szCs w:val="24"/>
          <w:lang w:val="en-US" w:eastAsia="ru-RU"/>
        </w:rPr>
        <w:t xml:space="preserve"> 10% of the total revenue of the Company</w:t>
      </w:r>
      <w:r w:rsidR="00073F22" w:rsidRPr="0006565E">
        <w:rPr>
          <w:sz w:val="24"/>
          <w:szCs w:val="24"/>
          <w:lang w:val="en-US" w:eastAsia="ru-RU"/>
        </w:rPr>
        <w:t xml:space="preserve">, </w:t>
      </w:r>
      <w:r w:rsidR="0006565E">
        <w:rPr>
          <w:sz w:val="24"/>
          <w:szCs w:val="24"/>
          <w:lang w:val="en-US" w:eastAsia="ru-RU"/>
        </w:rPr>
        <w:t>including</w:t>
      </w:r>
      <w:r w:rsidR="00073F22" w:rsidRPr="0006565E">
        <w:rPr>
          <w:sz w:val="24"/>
          <w:szCs w:val="24"/>
          <w:lang w:val="en-US" w:eastAsia="ru-RU"/>
        </w:rPr>
        <w:t>:</w:t>
      </w:r>
    </w:p>
    <w:p w:rsidR="00073F22" w:rsidRPr="008F47BD" w:rsidRDefault="00F5566A" w:rsidP="006F7B5B">
      <w:pPr>
        <w:ind w:firstLine="709"/>
        <w:jc w:val="both"/>
        <w:rPr>
          <w:sz w:val="24"/>
          <w:szCs w:val="24"/>
          <w:lang w:val="en-US" w:eastAsia="ru-RU"/>
        </w:rPr>
      </w:pPr>
      <w:r w:rsidRPr="009048CC">
        <w:rPr>
          <w:sz w:val="24"/>
          <w:szCs w:val="24"/>
          <w:lang w:val="en-US" w:eastAsia="ru-RU"/>
        </w:rPr>
        <w:t xml:space="preserve">- </w:t>
      </w:r>
      <w:proofErr w:type="gramStart"/>
      <w:r w:rsidR="009048CC" w:rsidRPr="0082031A">
        <w:rPr>
          <w:sz w:val="24"/>
          <w:szCs w:val="24"/>
          <w:lang w:val="en-US" w:eastAsia="ru-RU"/>
        </w:rPr>
        <w:t>revenue</w:t>
      </w:r>
      <w:proofErr w:type="gramEnd"/>
      <w:r w:rsidR="009048CC" w:rsidRPr="009048CC">
        <w:rPr>
          <w:sz w:val="24"/>
          <w:szCs w:val="24"/>
          <w:lang w:val="en-US" w:eastAsia="ru-RU"/>
        </w:rPr>
        <w:t xml:space="preserve"> </w:t>
      </w:r>
      <w:r w:rsidR="009048CC">
        <w:rPr>
          <w:sz w:val="24"/>
          <w:szCs w:val="24"/>
          <w:lang w:val="en-US" w:eastAsia="ru-RU"/>
        </w:rPr>
        <w:t xml:space="preserve">from electric energy transmission </w:t>
      </w:r>
      <w:r w:rsidR="00073F22" w:rsidRPr="009048CC">
        <w:rPr>
          <w:sz w:val="24"/>
          <w:szCs w:val="24"/>
          <w:lang w:val="en-US" w:eastAsia="ru-RU"/>
        </w:rPr>
        <w:t>-</w:t>
      </w:r>
      <w:r w:rsidR="00DE3B54" w:rsidRPr="009048CC">
        <w:rPr>
          <w:sz w:val="24"/>
          <w:szCs w:val="24"/>
          <w:lang w:val="en-US" w:eastAsia="ru-RU"/>
        </w:rPr>
        <w:t xml:space="preserve"> </w:t>
      </w:r>
      <w:r w:rsidR="00C542AD" w:rsidRPr="009048CC">
        <w:rPr>
          <w:sz w:val="24"/>
          <w:szCs w:val="24"/>
          <w:lang w:val="en-US" w:eastAsia="ru-RU"/>
        </w:rPr>
        <w:t>10 125 583 </w:t>
      </w:r>
      <w:proofErr w:type="spellStart"/>
      <w:r w:rsidR="008F47BD" w:rsidRPr="009048CC">
        <w:rPr>
          <w:sz w:val="24"/>
          <w:szCs w:val="24"/>
          <w:lang w:val="en-US" w:eastAsia="ru-RU"/>
        </w:rPr>
        <w:t>thous</w:t>
      </w:r>
      <w:proofErr w:type="spellEnd"/>
      <w:r w:rsidR="008F47BD" w:rsidRPr="009048CC">
        <w:rPr>
          <w:sz w:val="24"/>
          <w:szCs w:val="24"/>
          <w:lang w:val="en-US" w:eastAsia="ru-RU"/>
        </w:rPr>
        <w:t xml:space="preserve">. </w:t>
      </w:r>
      <w:r w:rsidR="008F47BD" w:rsidRPr="008F47BD">
        <w:rPr>
          <w:sz w:val="24"/>
          <w:szCs w:val="24"/>
          <w:lang w:val="en-US" w:eastAsia="ru-RU"/>
        </w:rPr>
        <w:t>RUB</w:t>
      </w:r>
      <w:r w:rsidR="00C542AD" w:rsidRPr="008F47BD">
        <w:rPr>
          <w:sz w:val="24"/>
          <w:szCs w:val="24"/>
          <w:lang w:val="en-US" w:eastAsia="ru-RU"/>
        </w:rPr>
        <w:t xml:space="preserve"> (</w:t>
      </w:r>
      <w:r w:rsidR="00E161E4" w:rsidRPr="009048CC">
        <w:rPr>
          <w:sz w:val="24"/>
          <w:szCs w:val="24"/>
          <w:lang w:val="en-US" w:eastAsia="ru-RU"/>
        </w:rPr>
        <w:t>including VAT</w:t>
      </w:r>
      <w:r w:rsidR="00C542AD" w:rsidRPr="008F47BD">
        <w:rPr>
          <w:sz w:val="24"/>
          <w:szCs w:val="24"/>
          <w:lang w:val="en-US" w:eastAsia="ru-RU"/>
        </w:rPr>
        <w:t xml:space="preserve"> 1 544 580 </w:t>
      </w:r>
      <w:proofErr w:type="spellStart"/>
      <w:r w:rsidR="008F47BD" w:rsidRPr="008F47BD">
        <w:rPr>
          <w:sz w:val="24"/>
          <w:szCs w:val="24"/>
          <w:lang w:val="en-US" w:eastAsia="ru-RU"/>
        </w:rPr>
        <w:t>thous</w:t>
      </w:r>
      <w:proofErr w:type="spellEnd"/>
      <w:r w:rsidR="008F47BD" w:rsidRPr="008F47BD">
        <w:rPr>
          <w:sz w:val="24"/>
          <w:szCs w:val="24"/>
          <w:lang w:val="en-US" w:eastAsia="ru-RU"/>
        </w:rPr>
        <w:t>. RUB</w:t>
      </w:r>
      <w:r w:rsidR="00EA15E7" w:rsidRPr="008F47BD">
        <w:rPr>
          <w:sz w:val="24"/>
          <w:szCs w:val="24"/>
          <w:lang w:val="en-US" w:eastAsia="ru-RU"/>
        </w:rPr>
        <w:t>)</w:t>
      </w:r>
      <w:r w:rsidR="00073F22" w:rsidRPr="008F47BD">
        <w:rPr>
          <w:sz w:val="24"/>
          <w:szCs w:val="24"/>
          <w:lang w:val="en-US" w:eastAsia="ru-RU"/>
        </w:rPr>
        <w:t>;</w:t>
      </w:r>
    </w:p>
    <w:p w:rsidR="00073F22" w:rsidRPr="00407247" w:rsidRDefault="00F5566A" w:rsidP="006F7B5B">
      <w:pPr>
        <w:ind w:firstLine="709"/>
        <w:jc w:val="both"/>
        <w:rPr>
          <w:sz w:val="24"/>
          <w:szCs w:val="24"/>
          <w:lang w:val="ru-RU" w:eastAsia="ru-RU"/>
        </w:rPr>
      </w:pPr>
      <w:r w:rsidRPr="009048CC">
        <w:rPr>
          <w:sz w:val="24"/>
          <w:szCs w:val="24"/>
          <w:lang w:val="en-US" w:eastAsia="ru-RU"/>
        </w:rPr>
        <w:t xml:space="preserve">- </w:t>
      </w:r>
      <w:proofErr w:type="gramStart"/>
      <w:r w:rsidR="009048CC" w:rsidRPr="0082031A">
        <w:rPr>
          <w:sz w:val="24"/>
          <w:szCs w:val="24"/>
          <w:lang w:val="en-US" w:eastAsia="ru-RU"/>
        </w:rPr>
        <w:t>revenue</w:t>
      </w:r>
      <w:proofErr w:type="gramEnd"/>
      <w:r w:rsidR="009048CC" w:rsidRPr="009048CC">
        <w:rPr>
          <w:sz w:val="24"/>
          <w:szCs w:val="24"/>
          <w:lang w:val="en-US" w:eastAsia="ru-RU"/>
        </w:rPr>
        <w:t xml:space="preserve"> </w:t>
      </w:r>
      <w:r w:rsidR="009048CC">
        <w:rPr>
          <w:sz w:val="24"/>
          <w:szCs w:val="24"/>
          <w:lang w:val="en-US" w:eastAsia="ru-RU"/>
        </w:rPr>
        <w:t xml:space="preserve">from lease </w:t>
      </w:r>
      <w:r w:rsidR="00073F22" w:rsidRPr="009048CC">
        <w:rPr>
          <w:sz w:val="24"/>
          <w:szCs w:val="24"/>
          <w:lang w:val="en-US" w:eastAsia="ru-RU"/>
        </w:rPr>
        <w:t>-</w:t>
      </w:r>
      <w:r w:rsidRPr="009048CC">
        <w:rPr>
          <w:sz w:val="24"/>
          <w:szCs w:val="24"/>
          <w:lang w:val="en-US" w:eastAsia="ru-RU"/>
        </w:rPr>
        <w:t xml:space="preserve"> </w:t>
      </w:r>
      <w:r w:rsidR="00073F22" w:rsidRPr="009048CC">
        <w:rPr>
          <w:sz w:val="24"/>
          <w:szCs w:val="24"/>
          <w:lang w:val="en-US" w:eastAsia="ru-RU"/>
        </w:rPr>
        <w:t xml:space="preserve">854  </w:t>
      </w:r>
      <w:proofErr w:type="spellStart"/>
      <w:r w:rsidR="008F47BD" w:rsidRPr="009048CC">
        <w:rPr>
          <w:sz w:val="24"/>
          <w:szCs w:val="24"/>
          <w:lang w:val="en-US" w:eastAsia="ru-RU"/>
        </w:rPr>
        <w:t>thous</w:t>
      </w:r>
      <w:proofErr w:type="spellEnd"/>
      <w:r w:rsidR="008F47BD" w:rsidRPr="009048CC">
        <w:rPr>
          <w:sz w:val="24"/>
          <w:szCs w:val="24"/>
          <w:lang w:val="en-US" w:eastAsia="ru-RU"/>
        </w:rPr>
        <w:t>. RUB</w:t>
      </w:r>
      <w:r w:rsidR="00073F22" w:rsidRPr="009048CC">
        <w:rPr>
          <w:sz w:val="24"/>
          <w:szCs w:val="24"/>
          <w:lang w:val="en-US" w:eastAsia="ru-RU"/>
        </w:rPr>
        <w:t xml:space="preserve"> (</w:t>
      </w:r>
      <w:r w:rsidR="00E161E4" w:rsidRPr="009048CC">
        <w:rPr>
          <w:sz w:val="24"/>
          <w:szCs w:val="24"/>
          <w:lang w:val="en-US" w:eastAsia="ru-RU"/>
        </w:rPr>
        <w:t>including VAT</w:t>
      </w:r>
      <w:r w:rsidR="00073F22" w:rsidRPr="009048CC">
        <w:rPr>
          <w:sz w:val="24"/>
          <w:szCs w:val="24"/>
          <w:lang w:val="en-US" w:eastAsia="ru-RU"/>
        </w:rPr>
        <w:t xml:space="preserve"> 130 </w:t>
      </w:r>
      <w:proofErr w:type="spellStart"/>
      <w:r w:rsidR="008F47BD" w:rsidRPr="009048CC">
        <w:rPr>
          <w:sz w:val="24"/>
          <w:szCs w:val="24"/>
          <w:lang w:val="en-US" w:eastAsia="ru-RU"/>
        </w:rPr>
        <w:t>thous</w:t>
      </w:r>
      <w:proofErr w:type="spellEnd"/>
      <w:r w:rsidR="008F47BD" w:rsidRPr="009048CC">
        <w:rPr>
          <w:sz w:val="24"/>
          <w:szCs w:val="24"/>
          <w:lang w:val="en-US" w:eastAsia="ru-RU"/>
        </w:rPr>
        <w:t xml:space="preserve">. </w:t>
      </w:r>
      <w:proofErr w:type="gramStart"/>
      <w:r w:rsidR="008F47BD">
        <w:rPr>
          <w:sz w:val="24"/>
          <w:szCs w:val="24"/>
          <w:lang w:val="ru-RU" w:eastAsia="ru-RU"/>
        </w:rPr>
        <w:t>RUB</w:t>
      </w:r>
      <w:r w:rsidR="00073F22" w:rsidRPr="00407247">
        <w:rPr>
          <w:sz w:val="24"/>
          <w:szCs w:val="24"/>
          <w:lang w:val="ru-RU" w:eastAsia="ru-RU"/>
        </w:rPr>
        <w:t>);</w:t>
      </w:r>
      <w:proofErr w:type="gramEnd"/>
    </w:p>
    <w:p w:rsidR="00073F22" w:rsidRPr="00407247" w:rsidRDefault="00F5566A" w:rsidP="006F7B5B">
      <w:pPr>
        <w:ind w:firstLine="709"/>
        <w:jc w:val="both"/>
        <w:rPr>
          <w:sz w:val="24"/>
          <w:szCs w:val="24"/>
          <w:lang w:val="ru-RU" w:eastAsia="ru-RU"/>
        </w:rPr>
      </w:pPr>
      <w:r w:rsidRPr="009048CC">
        <w:rPr>
          <w:sz w:val="24"/>
          <w:szCs w:val="24"/>
          <w:lang w:val="en-US" w:eastAsia="ru-RU"/>
        </w:rPr>
        <w:t xml:space="preserve">- </w:t>
      </w:r>
      <w:proofErr w:type="gramStart"/>
      <w:r w:rsidR="009048CC" w:rsidRPr="0082031A">
        <w:rPr>
          <w:sz w:val="24"/>
          <w:szCs w:val="24"/>
          <w:lang w:val="en-US" w:eastAsia="ru-RU"/>
        </w:rPr>
        <w:t>revenue</w:t>
      </w:r>
      <w:proofErr w:type="gramEnd"/>
      <w:r w:rsidR="009048CC" w:rsidRPr="009048CC">
        <w:rPr>
          <w:sz w:val="24"/>
          <w:szCs w:val="24"/>
          <w:lang w:val="en-US" w:eastAsia="ru-RU"/>
        </w:rPr>
        <w:t xml:space="preserve"> </w:t>
      </w:r>
      <w:r w:rsidR="009048CC">
        <w:rPr>
          <w:sz w:val="24"/>
          <w:szCs w:val="24"/>
          <w:lang w:val="en-US" w:eastAsia="ru-RU"/>
        </w:rPr>
        <w:t xml:space="preserve">from other services </w:t>
      </w:r>
      <w:r w:rsidR="00073F22" w:rsidRPr="009048CC">
        <w:rPr>
          <w:sz w:val="24"/>
          <w:szCs w:val="24"/>
          <w:lang w:val="en-US" w:eastAsia="ru-RU"/>
        </w:rPr>
        <w:t>– 14 (</w:t>
      </w:r>
      <w:r w:rsidR="009048CC" w:rsidRPr="009048CC">
        <w:rPr>
          <w:sz w:val="24"/>
          <w:szCs w:val="24"/>
          <w:lang w:val="en-US" w:eastAsia="ru-RU"/>
        </w:rPr>
        <w:t xml:space="preserve">including </w:t>
      </w:r>
      <w:r w:rsidR="00073F22" w:rsidRPr="009048CC">
        <w:rPr>
          <w:sz w:val="24"/>
          <w:szCs w:val="24"/>
          <w:lang w:val="en-US" w:eastAsia="ru-RU"/>
        </w:rPr>
        <w:t xml:space="preserve">2 </w:t>
      </w:r>
      <w:proofErr w:type="spellStart"/>
      <w:r w:rsidR="008F47BD" w:rsidRPr="009048CC">
        <w:rPr>
          <w:sz w:val="24"/>
          <w:szCs w:val="24"/>
          <w:lang w:val="en-US" w:eastAsia="ru-RU"/>
        </w:rPr>
        <w:t>thous</w:t>
      </w:r>
      <w:proofErr w:type="spellEnd"/>
      <w:r w:rsidR="008F47BD" w:rsidRPr="009048CC">
        <w:rPr>
          <w:sz w:val="24"/>
          <w:szCs w:val="24"/>
          <w:lang w:val="en-US" w:eastAsia="ru-RU"/>
        </w:rPr>
        <w:t xml:space="preserve">. </w:t>
      </w:r>
      <w:proofErr w:type="gramStart"/>
      <w:r w:rsidR="008F47BD">
        <w:rPr>
          <w:sz w:val="24"/>
          <w:szCs w:val="24"/>
          <w:lang w:val="ru-RU" w:eastAsia="ru-RU"/>
        </w:rPr>
        <w:t>RUB</w:t>
      </w:r>
      <w:r w:rsidR="00073F22" w:rsidRPr="00407247">
        <w:rPr>
          <w:sz w:val="24"/>
          <w:szCs w:val="24"/>
          <w:lang w:val="ru-RU" w:eastAsia="ru-RU"/>
        </w:rPr>
        <w:t>).</w:t>
      </w:r>
      <w:proofErr w:type="gramEnd"/>
    </w:p>
    <w:p w:rsidR="00AE0049" w:rsidRDefault="00AE0049" w:rsidP="006F7B5B">
      <w:pPr>
        <w:ind w:firstLine="709"/>
        <w:jc w:val="both"/>
        <w:rPr>
          <w:sz w:val="24"/>
          <w:szCs w:val="24"/>
          <w:lang w:val="ru-RU" w:eastAsia="ru-RU"/>
        </w:rPr>
      </w:pPr>
    </w:p>
    <w:p w:rsidR="008041DF" w:rsidRPr="00407247" w:rsidRDefault="008041DF" w:rsidP="006F7B5B">
      <w:pPr>
        <w:ind w:firstLine="709"/>
        <w:jc w:val="both"/>
        <w:rPr>
          <w:sz w:val="24"/>
          <w:szCs w:val="24"/>
          <w:lang w:val="ru-RU" w:eastAsia="ru-RU"/>
        </w:rPr>
      </w:pPr>
    </w:p>
    <w:p w:rsidR="009D0C98" w:rsidRPr="009563DA" w:rsidRDefault="00E66ED8" w:rsidP="00E37AB5">
      <w:pPr>
        <w:pStyle w:val="8"/>
        <w:numPr>
          <w:ilvl w:val="1"/>
          <w:numId w:val="7"/>
        </w:numPr>
        <w:rPr>
          <w:lang w:val="en-US"/>
        </w:rPr>
      </w:pPr>
      <w:r w:rsidRPr="009563DA">
        <w:rPr>
          <w:lang w:val="en-US"/>
        </w:rPr>
        <w:t xml:space="preserve"> </w:t>
      </w:r>
      <w:r w:rsidR="009563DA" w:rsidRPr="00F22AED">
        <w:rPr>
          <w:lang w:val="en-US"/>
        </w:rPr>
        <w:t>Information on calculation of profit tax</w:t>
      </w:r>
    </w:p>
    <w:p w:rsidR="00407627" w:rsidRPr="009563DA" w:rsidRDefault="00407627" w:rsidP="006F7B5B">
      <w:pPr>
        <w:autoSpaceDE w:val="0"/>
        <w:autoSpaceDN w:val="0"/>
        <w:adjustRightInd w:val="0"/>
        <w:ind w:firstLine="709"/>
        <w:jc w:val="both"/>
        <w:rPr>
          <w:rFonts w:ascii="13" w:hAnsi="13"/>
          <w:b/>
          <w:sz w:val="24"/>
          <w:szCs w:val="24"/>
          <w:lang w:val="en-US"/>
        </w:rPr>
      </w:pPr>
    </w:p>
    <w:p w:rsidR="009D0C98" w:rsidRPr="0021393A" w:rsidRDefault="0059737A" w:rsidP="006F7B5B">
      <w:pPr>
        <w:ind w:firstLine="709"/>
        <w:jc w:val="both"/>
        <w:rPr>
          <w:sz w:val="24"/>
          <w:szCs w:val="24"/>
          <w:lang w:val="en-US" w:eastAsia="ru-RU"/>
        </w:rPr>
      </w:pPr>
      <w:r w:rsidRPr="0082031A">
        <w:rPr>
          <w:sz w:val="24"/>
          <w:szCs w:val="24"/>
          <w:lang w:val="en-US" w:eastAsia="ru-RU"/>
        </w:rPr>
        <w:t xml:space="preserve">Calculation of tax base following the results of </w:t>
      </w:r>
      <w:r w:rsidR="009D0C98" w:rsidRPr="0021393A">
        <w:rPr>
          <w:sz w:val="24"/>
          <w:szCs w:val="24"/>
          <w:lang w:val="en-US" w:eastAsia="ru-RU"/>
        </w:rPr>
        <w:t>201</w:t>
      </w:r>
      <w:r w:rsidR="00C542AD" w:rsidRPr="0021393A">
        <w:rPr>
          <w:sz w:val="24"/>
          <w:szCs w:val="24"/>
          <w:lang w:val="en-US" w:eastAsia="ru-RU"/>
        </w:rPr>
        <w:t>4</w:t>
      </w:r>
      <w:r w:rsidR="009D0C98" w:rsidRPr="0021393A">
        <w:rPr>
          <w:sz w:val="24"/>
          <w:szCs w:val="24"/>
          <w:lang w:val="en-US" w:eastAsia="ru-RU"/>
        </w:rPr>
        <w:t xml:space="preserve"> </w:t>
      </w:r>
      <w:r w:rsidR="0021393A" w:rsidRPr="0082031A">
        <w:rPr>
          <w:sz w:val="24"/>
          <w:szCs w:val="24"/>
          <w:lang w:val="en-US" w:eastAsia="ru-RU"/>
        </w:rPr>
        <w:t>was made on the basis of the tax accounting data. The taxable surplus for the accounting period is</w:t>
      </w:r>
      <w:r w:rsidR="0021393A">
        <w:rPr>
          <w:sz w:val="24"/>
          <w:szCs w:val="24"/>
          <w:lang w:val="en-US" w:eastAsia="ru-RU"/>
        </w:rPr>
        <w:t xml:space="preserve"> </w:t>
      </w:r>
      <w:r w:rsidR="00C542AD" w:rsidRPr="0021393A">
        <w:rPr>
          <w:sz w:val="24"/>
          <w:szCs w:val="24"/>
          <w:lang w:val="en-US" w:eastAsia="ru-RU"/>
        </w:rPr>
        <w:t>4 856 251</w:t>
      </w:r>
      <w:r w:rsidR="0081194A" w:rsidRPr="0021393A">
        <w:rPr>
          <w:sz w:val="24"/>
          <w:szCs w:val="24"/>
          <w:lang w:val="en-US" w:eastAsia="ru-RU"/>
        </w:rPr>
        <w:t> </w:t>
      </w:r>
      <w:proofErr w:type="spellStart"/>
      <w:r w:rsidR="008F47BD" w:rsidRPr="0021393A">
        <w:rPr>
          <w:sz w:val="24"/>
          <w:szCs w:val="24"/>
          <w:lang w:val="en-US" w:eastAsia="ru-RU"/>
        </w:rPr>
        <w:t>thous</w:t>
      </w:r>
      <w:proofErr w:type="spellEnd"/>
      <w:r w:rsidR="008F47BD" w:rsidRPr="0021393A">
        <w:rPr>
          <w:sz w:val="24"/>
          <w:szCs w:val="24"/>
          <w:lang w:val="en-US" w:eastAsia="ru-RU"/>
        </w:rPr>
        <w:t>. RUB</w:t>
      </w:r>
      <w:r w:rsidR="009D0C98" w:rsidRPr="0021393A">
        <w:rPr>
          <w:sz w:val="24"/>
          <w:szCs w:val="24"/>
          <w:lang w:val="en-US" w:eastAsia="ru-RU"/>
        </w:rPr>
        <w:t xml:space="preserve">, </w:t>
      </w:r>
      <w:r w:rsidR="0021393A" w:rsidRPr="0082031A">
        <w:rPr>
          <w:sz w:val="24"/>
          <w:szCs w:val="24"/>
          <w:lang w:val="en-US" w:eastAsia="ru-RU"/>
        </w:rPr>
        <w:t>the profit tax estimated under the rate of 20% is</w:t>
      </w:r>
      <w:r w:rsidR="0021393A">
        <w:rPr>
          <w:sz w:val="24"/>
          <w:szCs w:val="24"/>
          <w:lang w:val="en-US" w:eastAsia="ru-RU"/>
        </w:rPr>
        <w:t xml:space="preserve"> </w:t>
      </w:r>
      <w:r w:rsidR="00C542AD" w:rsidRPr="0021393A">
        <w:rPr>
          <w:sz w:val="24"/>
          <w:szCs w:val="24"/>
          <w:lang w:val="en-US" w:eastAsia="ru-RU"/>
        </w:rPr>
        <w:t>971 250</w:t>
      </w:r>
      <w:r w:rsidR="0081194A" w:rsidRPr="0021393A">
        <w:rPr>
          <w:sz w:val="24"/>
          <w:szCs w:val="24"/>
          <w:lang w:val="en-US" w:eastAsia="ru-RU"/>
        </w:rPr>
        <w:t xml:space="preserve"> </w:t>
      </w:r>
      <w:proofErr w:type="spellStart"/>
      <w:r w:rsidR="008F47BD" w:rsidRPr="0021393A">
        <w:rPr>
          <w:sz w:val="24"/>
          <w:szCs w:val="24"/>
          <w:lang w:val="en-US" w:eastAsia="ru-RU"/>
        </w:rPr>
        <w:t>thous</w:t>
      </w:r>
      <w:proofErr w:type="spellEnd"/>
      <w:r w:rsidR="008F47BD" w:rsidRPr="0021393A">
        <w:rPr>
          <w:sz w:val="24"/>
          <w:szCs w:val="24"/>
          <w:lang w:val="en-US" w:eastAsia="ru-RU"/>
        </w:rPr>
        <w:t>. RUB</w:t>
      </w:r>
      <w:r w:rsidR="0021393A">
        <w:rPr>
          <w:sz w:val="24"/>
          <w:szCs w:val="24"/>
          <w:lang w:val="en-US" w:eastAsia="ru-RU"/>
        </w:rPr>
        <w:t>.</w:t>
      </w:r>
      <w:r w:rsidR="009D0C98" w:rsidRPr="0021393A">
        <w:rPr>
          <w:sz w:val="24"/>
          <w:szCs w:val="24"/>
          <w:lang w:val="en-US" w:eastAsia="ru-RU"/>
        </w:rPr>
        <w:t xml:space="preserve"> </w:t>
      </w:r>
    </w:p>
    <w:p w:rsidR="009D0C98" w:rsidRPr="0021393A" w:rsidRDefault="0021393A" w:rsidP="006F7B5B">
      <w:pPr>
        <w:ind w:firstLine="709"/>
        <w:jc w:val="both"/>
        <w:rPr>
          <w:sz w:val="24"/>
          <w:szCs w:val="24"/>
          <w:lang w:val="en-US" w:eastAsia="ru-RU"/>
        </w:rPr>
      </w:pPr>
      <w:r w:rsidRPr="0082031A">
        <w:rPr>
          <w:sz w:val="24"/>
          <w:szCs w:val="24"/>
          <w:lang w:val="en-US" w:eastAsia="ru-RU"/>
        </w:rPr>
        <w:t xml:space="preserve">The transition from accounting </w:t>
      </w:r>
      <w:r>
        <w:rPr>
          <w:sz w:val="24"/>
          <w:szCs w:val="24"/>
          <w:lang w:val="en-US" w:eastAsia="ru-RU"/>
        </w:rPr>
        <w:t>income</w:t>
      </w:r>
      <w:r w:rsidRPr="0082031A">
        <w:rPr>
          <w:sz w:val="24"/>
          <w:szCs w:val="24"/>
          <w:lang w:val="en-US" w:eastAsia="ru-RU"/>
        </w:rPr>
        <w:t xml:space="preserve"> to taxable income for </w:t>
      </w:r>
      <w:r w:rsidR="009D0C98" w:rsidRPr="0021393A">
        <w:rPr>
          <w:sz w:val="24"/>
          <w:szCs w:val="24"/>
          <w:lang w:val="en-US" w:eastAsia="ru-RU"/>
        </w:rPr>
        <w:t>201</w:t>
      </w:r>
      <w:r w:rsidR="00C542AD" w:rsidRPr="0021393A">
        <w:rPr>
          <w:sz w:val="24"/>
          <w:szCs w:val="24"/>
          <w:lang w:val="en-US" w:eastAsia="ru-RU"/>
        </w:rPr>
        <w:t>3</w:t>
      </w:r>
      <w:r w:rsidR="00E42912" w:rsidRPr="0021393A">
        <w:rPr>
          <w:sz w:val="24"/>
          <w:szCs w:val="24"/>
          <w:lang w:val="en-US" w:eastAsia="ru-RU"/>
        </w:rPr>
        <w:t>-</w:t>
      </w:r>
      <w:r w:rsidR="009D0C98" w:rsidRPr="0021393A">
        <w:rPr>
          <w:sz w:val="24"/>
          <w:szCs w:val="24"/>
          <w:lang w:val="en-US" w:eastAsia="ru-RU"/>
        </w:rPr>
        <w:t>201</w:t>
      </w:r>
      <w:r w:rsidR="00C542AD" w:rsidRPr="0021393A">
        <w:rPr>
          <w:sz w:val="24"/>
          <w:szCs w:val="24"/>
          <w:lang w:val="en-US" w:eastAsia="ru-RU"/>
        </w:rPr>
        <w:t>4</w:t>
      </w:r>
      <w:r w:rsidR="005949E1" w:rsidRPr="0021393A">
        <w:rPr>
          <w:sz w:val="24"/>
          <w:szCs w:val="24"/>
          <w:lang w:val="en-US" w:eastAsia="ru-RU"/>
        </w:rPr>
        <w:t xml:space="preserve"> </w:t>
      </w:r>
      <w:r w:rsidRPr="0082031A">
        <w:rPr>
          <w:sz w:val="24"/>
          <w:szCs w:val="24"/>
          <w:lang w:val="en-US" w:eastAsia="ru-RU"/>
        </w:rPr>
        <w:t xml:space="preserve">is included in the explanatory note to the accounting balance sheet and the profit and loss statement in table </w:t>
      </w:r>
      <w:r w:rsidR="009D0C98" w:rsidRPr="0021393A">
        <w:rPr>
          <w:sz w:val="24"/>
          <w:szCs w:val="24"/>
          <w:lang w:val="en-US" w:eastAsia="ru-RU"/>
        </w:rPr>
        <w:t>2.3.</w:t>
      </w:r>
    </w:p>
    <w:p w:rsidR="00095771" w:rsidRPr="0021393A" w:rsidRDefault="00095771" w:rsidP="006F7B5B">
      <w:pPr>
        <w:ind w:firstLine="709"/>
        <w:jc w:val="both"/>
        <w:rPr>
          <w:sz w:val="24"/>
          <w:szCs w:val="24"/>
          <w:lang w:val="en-US" w:eastAsia="ru-RU"/>
        </w:rPr>
      </w:pPr>
    </w:p>
    <w:p w:rsidR="00095771" w:rsidRPr="0021393A" w:rsidRDefault="00492C5A" w:rsidP="008041DF">
      <w:pPr>
        <w:spacing w:after="200" w:line="276" w:lineRule="auto"/>
        <w:rPr>
          <w:sz w:val="24"/>
          <w:szCs w:val="24"/>
          <w:lang w:val="en-US" w:eastAsia="ru-RU"/>
        </w:rPr>
      </w:pPr>
      <w:r w:rsidRPr="0021393A">
        <w:rPr>
          <w:sz w:val="24"/>
          <w:szCs w:val="24"/>
          <w:lang w:val="en-US" w:eastAsia="ru-RU"/>
        </w:rPr>
        <w:br w:type="page"/>
      </w:r>
    </w:p>
    <w:p w:rsidR="0081194A" w:rsidRPr="00853A6A" w:rsidRDefault="009D0C98" w:rsidP="00EB3393">
      <w:pPr>
        <w:jc w:val="right"/>
        <w:rPr>
          <w:rFonts w:asciiTheme="minorHAnsi" w:hAnsiTheme="minorHAnsi"/>
          <w:sz w:val="26"/>
          <w:szCs w:val="26"/>
          <w:highlight w:val="red"/>
          <w:lang w:val="ru-RU"/>
        </w:rPr>
      </w:pPr>
      <w:r w:rsidRPr="0021393A">
        <w:rPr>
          <w:rFonts w:ascii="13" w:hAnsi="13"/>
          <w:sz w:val="26"/>
          <w:szCs w:val="26"/>
          <w:lang w:val="en-US"/>
        </w:rPr>
        <w:lastRenderedPageBreak/>
        <w:tab/>
      </w:r>
      <w:r w:rsidRPr="0021393A">
        <w:rPr>
          <w:rFonts w:ascii="13" w:hAnsi="13"/>
          <w:sz w:val="26"/>
          <w:szCs w:val="26"/>
          <w:lang w:val="en-US"/>
        </w:rPr>
        <w:tab/>
      </w:r>
      <w:proofErr w:type="spellStart"/>
      <w:r w:rsidR="008F47BD">
        <w:rPr>
          <w:sz w:val="24"/>
          <w:szCs w:val="24"/>
          <w:lang w:val="ru-RU" w:eastAsia="ru-RU"/>
        </w:rPr>
        <w:t>thous</w:t>
      </w:r>
      <w:proofErr w:type="spellEnd"/>
      <w:r w:rsidR="008F47BD">
        <w:rPr>
          <w:sz w:val="24"/>
          <w:szCs w:val="24"/>
          <w:lang w:val="ru-RU" w:eastAsia="ru-RU"/>
        </w:rPr>
        <w:t>. RUB</w:t>
      </w:r>
    </w:p>
    <w:tbl>
      <w:tblPr>
        <w:tblStyle w:val="af0"/>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673"/>
        <w:gridCol w:w="6423"/>
        <w:gridCol w:w="1186"/>
        <w:gridCol w:w="1186"/>
      </w:tblGrid>
      <w:tr w:rsidR="008906A4" w:rsidRPr="000453ED" w:rsidTr="003C1AEA">
        <w:trPr>
          <w:trHeight w:val="345"/>
        </w:trPr>
        <w:tc>
          <w:tcPr>
            <w:tcW w:w="673" w:type="dxa"/>
            <w:hideMark/>
          </w:tcPr>
          <w:p w:rsidR="008906A4" w:rsidRPr="00F22AED" w:rsidRDefault="008906A4" w:rsidP="007C4502">
            <w:pPr>
              <w:jc w:val="center"/>
              <w:rPr>
                <w:b/>
                <w:bCs/>
                <w:sz w:val="26"/>
                <w:szCs w:val="26"/>
                <w:lang w:val="en-US"/>
              </w:rPr>
            </w:pPr>
            <w:r>
              <w:rPr>
                <w:b/>
                <w:bCs/>
                <w:sz w:val="26"/>
                <w:szCs w:val="26"/>
                <w:lang w:val="en-US"/>
              </w:rPr>
              <w:t>#</w:t>
            </w:r>
          </w:p>
        </w:tc>
        <w:tc>
          <w:tcPr>
            <w:tcW w:w="6423" w:type="dxa"/>
            <w:hideMark/>
          </w:tcPr>
          <w:p w:rsidR="008906A4" w:rsidRPr="00836721" w:rsidRDefault="008906A4" w:rsidP="007C4502">
            <w:pPr>
              <w:jc w:val="center"/>
              <w:rPr>
                <w:b/>
                <w:lang w:val="ru-RU"/>
              </w:rPr>
            </w:pPr>
            <w:proofErr w:type="spellStart"/>
            <w:r>
              <w:rPr>
                <w:b/>
                <w:lang w:val="ru-RU"/>
              </w:rPr>
              <w:t>Indicator</w:t>
            </w:r>
            <w:proofErr w:type="spellEnd"/>
          </w:p>
        </w:tc>
        <w:tc>
          <w:tcPr>
            <w:tcW w:w="1186" w:type="dxa"/>
            <w:hideMark/>
          </w:tcPr>
          <w:p w:rsidR="008906A4" w:rsidRPr="000453ED" w:rsidRDefault="008906A4" w:rsidP="008906A4">
            <w:pPr>
              <w:jc w:val="center"/>
              <w:rPr>
                <w:b/>
                <w:lang w:val="ru-RU"/>
              </w:rPr>
            </w:pPr>
            <w:r>
              <w:rPr>
                <w:b/>
                <w:lang w:val="ru-RU"/>
              </w:rPr>
              <w:t>2014</w:t>
            </w:r>
          </w:p>
        </w:tc>
        <w:tc>
          <w:tcPr>
            <w:tcW w:w="1186" w:type="dxa"/>
          </w:tcPr>
          <w:p w:rsidR="008906A4" w:rsidRPr="000453ED" w:rsidDel="003C1AEA" w:rsidRDefault="008906A4" w:rsidP="008906A4">
            <w:pPr>
              <w:jc w:val="center"/>
              <w:rPr>
                <w:b/>
                <w:lang w:val="ru-RU"/>
              </w:rPr>
            </w:pPr>
            <w:r>
              <w:rPr>
                <w:b/>
                <w:lang w:val="ru-RU"/>
              </w:rPr>
              <w:t>2013</w:t>
            </w:r>
          </w:p>
        </w:tc>
      </w:tr>
      <w:tr w:rsidR="00FC1175" w:rsidRPr="000453ED" w:rsidTr="003C1AEA">
        <w:trPr>
          <w:trHeight w:val="345"/>
        </w:trPr>
        <w:tc>
          <w:tcPr>
            <w:tcW w:w="673" w:type="dxa"/>
            <w:hideMark/>
          </w:tcPr>
          <w:p w:rsidR="00FC1175" w:rsidRPr="000453ED" w:rsidRDefault="00FC1175" w:rsidP="005A54C0">
            <w:pPr>
              <w:jc w:val="center"/>
              <w:rPr>
                <w:lang w:val="ru-RU" w:eastAsia="ru-RU"/>
              </w:rPr>
            </w:pPr>
            <w:r w:rsidRPr="000453ED">
              <w:rPr>
                <w:lang w:val="ru-RU" w:eastAsia="ru-RU"/>
              </w:rPr>
              <w:t>1.</w:t>
            </w:r>
          </w:p>
        </w:tc>
        <w:tc>
          <w:tcPr>
            <w:tcW w:w="6423" w:type="dxa"/>
            <w:hideMark/>
          </w:tcPr>
          <w:p w:rsidR="00FC1175" w:rsidRPr="00A83FA4" w:rsidRDefault="00FC1175" w:rsidP="007C4502">
            <w:pPr>
              <w:rPr>
                <w:b/>
                <w:lang w:val="de-DE" w:eastAsia="ru-RU"/>
              </w:rPr>
            </w:pPr>
            <w:proofErr w:type="spellStart"/>
            <w:r w:rsidRPr="00A83FA4">
              <w:rPr>
                <w:b/>
                <w:lang w:val="ru-RU" w:eastAsia="ru-RU"/>
              </w:rPr>
              <w:t>Profit</w:t>
            </w:r>
            <w:proofErr w:type="spellEnd"/>
            <w:r w:rsidRPr="00A83FA4">
              <w:rPr>
                <w:b/>
                <w:lang w:val="ru-RU" w:eastAsia="ru-RU"/>
              </w:rPr>
              <w:t xml:space="preserve"> (</w:t>
            </w:r>
            <w:proofErr w:type="spellStart"/>
            <w:r w:rsidRPr="00A83FA4">
              <w:rPr>
                <w:b/>
                <w:lang w:val="ru-RU" w:eastAsia="ru-RU"/>
              </w:rPr>
              <w:t>loss</w:t>
            </w:r>
            <w:proofErr w:type="spellEnd"/>
            <w:r w:rsidRPr="00A83FA4">
              <w:rPr>
                <w:b/>
                <w:lang w:val="ru-RU" w:eastAsia="ru-RU"/>
              </w:rPr>
              <w:t>)</w:t>
            </w:r>
            <w:r>
              <w:rPr>
                <w:b/>
                <w:lang w:val="de-DE" w:eastAsia="ru-RU"/>
              </w:rPr>
              <w:t xml:space="preserve"> </w:t>
            </w:r>
            <w:proofErr w:type="spellStart"/>
            <w:r>
              <w:rPr>
                <w:b/>
                <w:lang w:val="de-DE" w:eastAsia="ru-RU"/>
              </w:rPr>
              <w:t>before</w:t>
            </w:r>
            <w:proofErr w:type="spellEnd"/>
            <w:r>
              <w:rPr>
                <w:b/>
                <w:lang w:val="de-DE" w:eastAsia="ru-RU"/>
              </w:rPr>
              <w:t xml:space="preserve"> tax</w:t>
            </w:r>
          </w:p>
        </w:tc>
        <w:tc>
          <w:tcPr>
            <w:tcW w:w="1186" w:type="dxa"/>
          </w:tcPr>
          <w:p w:rsidR="00FC1175" w:rsidRPr="000453ED" w:rsidRDefault="00FC1175" w:rsidP="00A1328E">
            <w:pPr>
              <w:jc w:val="right"/>
              <w:rPr>
                <w:lang w:val="ru-RU" w:eastAsia="ru-RU"/>
              </w:rPr>
            </w:pPr>
            <w:r w:rsidRPr="000453ED">
              <w:rPr>
                <w:lang w:val="ru-RU" w:eastAsia="ru-RU"/>
              </w:rPr>
              <w:t>4 863 878</w:t>
            </w:r>
          </w:p>
        </w:tc>
        <w:tc>
          <w:tcPr>
            <w:tcW w:w="1186" w:type="dxa"/>
          </w:tcPr>
          <w:p w:rsidR="00FC1175" w:rsidRPr="000453ED" w:rsidDel="003C1AEA" w:rsidRDefault="00FC1175" w:rsidP="00A1328E">
            <w:pPr>
              <w:jc w:val="right"/>
              <w:rPr>
                <w:lang w:val="ru-RU" w:eastAsia="ru-RU"/>
              </w:rPr>
            </w:pPr>
            <w:r w:rsidRPr="000453ED">
              <w:rPr>
                <w:lang w:val="ru-RU" w:eastAsia="ru-RU"/>
              </w:rPr>
              <w:t>1 929 423</w:t>
            </w:r>
          </w:p>
        </w:tc>
      </w:tr>
      <w:tr w:rsidR="00FC1175" w:rsidRPr="000453ED" w:rsidTr="003C1AEA">
        <w:trPr>
          <w:trHeight w:val="107"/>
        </w:trPr>
        <w:tc>
          <w:tcPr>
            <w:tcW w:w="673" w:type="dxa"/>
            <w:hideMark/>
          </w:tcPr>
          <w:p w:rsidR="00FC1175" w:rsidRPr="000453ED" w:rsidRDefault="00FC1175" w:rsidP="005A54C0">
            <w:pPr>
              <w:jc w:val="center"/>
              <w:rPr>
                <w:lang w:val="ru-RU" w:eastAsia="ru-RU"/>
              </w:rPr>
            </w:pPr>
            <w:r w:rsidRPr="000453ED">
              <w:rPr>
                <w:lang w:val="ru-RU" w:eastAsia="ru-RU"/>
              </w:rPr>
              <w:t>2.</w:t>
            </w:r>
          </w:p>
        </w:tc>
        <w:tc>
          <w:tcPr>
            <w:tcW w:w="6423" w:type="dxa"/>
            <w:hideMark/>
          </w:tcPr>
          <w:p w:rsidR="00FC1175" w:rsidRPr="00836721" w:rsidRDefault="00FC1175" w:rsidP="007C4502">
            <w:pPr>
              <w:rPr>
                <w:b/>
                <w:i/>
                <w:lang w:val="ru-RU" w:eastAsia="ru-RU"/>
              </w:rPr>
            </w:pPr>
            <w:r>
              <w:rPr>
                <w:b/>
                <w:i/>
                <w:lang w:val="de-DE" w:eastAsia="ru-RU"/>
              </w:rPr>
              <w:t>P</w:t>
            </w:r>
            <w:proofErr w:type="spellStart"/>
            <w:r w:rsidRPr="00A83FA4">
              <w:rPr>
                <w:b/>
                <w:i/>
                <w:lang w:val="ru-RU" w:eastAsia="ru-RU"/>
              </w:rPr>
              <w:t>ermanent</w:t>
            </w:r>
            <w:proofErr w:type="spellEnd"/>
            <w:r w:rsidRPr="00A83FA4">
              <w:rPr>
                <w:b/>
                <w:i/>
                <w:lang w:val="ru-RU" w:eastAsia="ru-RU"/>
              </w:rPr>
              <w:t xml:space="preserve"> </w:t>
            </w:r>
            <w:proofErr w:type="spellStart"/>
            <w:r w:rsidRPr="00A83FA4">
              <w:rPr>
                <w:b/>
                <w:i/>
                <w:lang w:val="ru-RU" w:eastAsia="ru-RU"/>
              </w:rPr>
              <w:t>differences</w:t>
            </w:r>
            <w:proofErr w:type="spellEnd"/>
          </w:p>
        </w:tc>
        <w:tc>
          <w:tcPr>
            <w:tcW w:w="1186" w:type="dxa"/>
          </w:tcPr>
          <w:p w:rsidR="00FC1175" w:rsidRPr="000453ED" w:rsidRDefault="00FC1175" w:rsidP="00A1328E">
            <w:pPr>
              <w:jc w:val="right"/>
              <w:rPr>
                <w:lang w:val="ru-RU" w:eastAsia="ru-RU"/>
              </w:rPr>
            </w:pPr>
            <w:r>
              <w:rPr>
                <w:lang w:val="ru-RU" w:eastAsia="ru-RU"/>
              </w:rPr>
              <w:t>2 784 661</w:t>
            </w:r>
          </w:p>
        </w:tc>
        <w:tc>
          <w:tcPr>
            <w:tcW w:w="1186" w:type="dxa"/>
          </w:tcPr>
          <w:p w:rsidR="00FC1175" w:rsidRPr="000453ED" w:rsidDel="003C1AEA" w:rsidRDefault="00FC1175" w:rsidP="00A1328E">
            <w:pPr>
              <w:jc w:val="right"/>
              <w:rPr>
                <w:lang w:val="ru-RU" w:eastAsia="ru-RU"/>
              </w:rPr>
            </w:pPr>
            <w:r w:rsidRPr="000453ED">
              <w:rPr>
                <w:lang w:val="ru-RU" w:eastAsia="ru-RU"/>
              </w:rPr>
              <w:t>5 372 546</w:t>
            </w:r>
          </w:p>
        </w:tc>
      </w:tr>
      <w:tr w:rsidR="00FC1175" w:rsidRPr="000453ED" w:rsidTr="002644C5">
        <w:trPr>
          <w:trHeight w:val="540"/>
        </w:trPr>
        <w:tc>
          <w:tcPr>
            <w:tcW w:w="673" w:type="dxa"/>
            <w:hideMark/>
          </w:tcPr>
          <w:p w:rsidR="00FC1175" w:rsidRPr="000453ED" w:rsidRDefault="00FC1175" w:rsidP="005A54C0">
            <w:pPr>
              <w:jc w:val="center"/>
              <w:rPr>
                <w:lang w:val="ru-RU" w:eastAsia="ru-RU"/>
              </w:rPr>
            </w:pPr>
            <w:r w:rsidRPr="000453ED">
              <w:rPr>
                <w:lang w:val="ru-RU" w:eastAsia="ru-RU"/>
              </w:rPr>
              <w:t>2.1.</w:t>
            </w:r>
          </w:p>
        </w:tc>
        <w:tc>
          <w:tcPr>
            <w:tcW w:w="6423" w:type="dxa"/>
            <w:hideMark/>
          </w:tcPr>
          <w:p w:rsidR="00FC1175" w:rsidRPr="00A83FA4" w:rsidRDefault="00FC1175" w:rsidP="007C4502">
            <w:pPr>
              <w:rPr>
                <w:lang w:val="en-US" w:eastAsia="ru-RU"/>
              </w:rPr>
            </w:pPr>
            <w:r w:rsidRPr="00A83FA4">
              <w:rPr>
                <w:lang w:val="en-US" w:eastAsia="ru-RU"/>
              </w:rPr>
              <w:t>Material aid, social privileges, etc. to employees, pensioners etc.</w:t>
            </w:r>
          </w:p>
        </w:tc>
        <w:tc>
          <w:tcPr>
            <w:tcW w:w="1186" w:type="dxa"/>
          </w:tcPr>
          <w:p w:rsidR="00FC1175" w:rsidRPr="000453ED" w:rsidRDefault="00FC1175" w:rsidP="00A1328E">
            <w:pPr>
              <w:jc w:val="right"/>
              <w:rPr>
                <w:lang w:val="ru-RU" w:eastAsia="ru-RU"/>
              </w:rPr>
            </w:pPr>
            <w:r>
              <w:rPr>
                <w:lang w:val="ru-RU" w:eastAsia="ru-RU"/>
              </w:rPr>
              <w:t>778 666</w:t>
            </w:r>
          </w:p>
        </w:tc>
        <w:tc>
          <w:tcPr>
            <w:tcW w:w="1186" w:type="dxa"/>
          </w:tcPr>
          <w:p w:rsidR="00FC1175" w:rsidRPr="000453ED" w:rsidDel="003C1AEA" w:rsidRDefault="00FC1175" w:rsidP="00A1328E">
            <w:pPr>
              <w:jc w:val="right"/>
              <w:rPr>
                <w:lang w:val="ru-RU" w:eastAsia="ru-RU"/>
              </w:rPr>
            </w:pPr>
            <w:r w:rsidRPr="000453ED">
              <w:rPr>
                <w:lang w:val="ru-RU" w:eastAsia="ru-RU"/>
              </w:rPr>
              <w:t>392 177</w:t>
            </w:r>
          </w:p>
        </w:tc>
      </w:tr>
      <w:tr w:rsidR="003C1AEA" w:rsidRPr="000453ED" w:rsidTr="003C1AEA">
        <w:trPr>
          <w:trHeight w:val="313"/>
        </w:trPr>
        <w:tc>
          <w:tcPr>
            <w:tcW w:w="673" w:type="dxa"/>
            <w:hideMark/>
          </w:tcPr>
          <w:p w:rsidR="003C1AEA" w:rsidRPr="000453ED" w:rsidRDefault="003C1AEA" w:rsidP="005A54C0">
            <w:pPr>
              <w:jc w:val="center"/>
              <w:rPr>
                <w:lang w:val="ru-RU" w:eastAsia="ru-RU"/>
              </w:rPr>
            </w:pPr>
            <w:r w:rsidRPr="000453ED">
              <w:rPr>
                <w:lang w:val="ru-RU" w:eastAsia="ru-RU"/>
              </w:rPr>
              <w:t>2.2.</w:t>
            </w:r>
          </w:p>
        </w:tc>
        <w:tc>
          <w:tcPr>
            <w:tcW w:w="6423" w:type="dxa"/>
            <w:hideMark/>
          </w:tcPr>
          <w:p w:rsidR="003C1AEA" w:rsidRPr="000453ED" w:rsidRDefault="00FC1175" w:rsidP="00FC4250">
            <w:pPr>
              <w:rPr>
                <w:lang w:val="ru-RU" w:eastAsia="ru-RU"/>
              </w:rPr>
            </w:pPr>
            <w:proofErr w:type="spellStart"/>
            <w:r w:rsidRPr="00FC1175">
              <w:rPr>
                <w:lang w:val="ru-RU" w:eastAsia="ru-RU"/>
              </w:rPr>
              <w:t>Revaluation</w:t>
            </w:r>
            <w:proofErr w:type="spellEnd"/>
            <w:r w:rsidRPr="00FC1175">
              <w:rPr>
                <w:lang w:val="ru-RU" w:eastAsia="ru-RU"/>
              </w:rPr>
              <w:t xml:space="preserve"> </w:t>
            </w:r>
            <w:proofErr w:type="spellStart"/>
            <w:r w:rsidRPr="00FC1175">
              <w:rPr>
                <w:lang w:val="ru-RU" w:eastAsia="ru-RU"/>
              </w:rPr>
              <w:t>of</w:t>
            </w:r>
            <w:proofErr w:type="spellEnd"/>
            <w:r w:rsidRPr="00FC1175">
              <w:rPr>
                <w:lang w:val="ru-RU" w:eastAsia="ru-RU"/>
              </w:rPr>
              <w:t xml:space="preserve"> </w:t>
            </w:r>
            <w:r>
              <w:rPr>
                <w:lang w:val="en-US" w:eastAsia="ru-RU"/>
              </w:rPr>
              <w:t xml:space="preserve">financial </w:t>
            </w:r>
            <w:proofErr w:type="spellStart"/>
            <w:r w:rsidRPr="00FC1175">
              <w:rPr>
                <w:lang w:val="ru-RU" w:eastAsia="ru-RU"/>
              </w:rPr>
              <w:t>investments</w:t>
            </w:r>
            <w:proofErr w:type="spellEnd"/>
          </w:p>
        </w:tc>
        <w:tc>
          <w:tcPr>
            <w:tcW w:w="1186" w:type="dxa"/>
          </w:tcPr>
          <w:p w:rsidR="003C1AEA" w:rsidRPr="000453ED" w:rsidRDefault="000453ED" w:rsidP="000453ED">
            <w:pPr>
              <w:jc w:val="right"/>
              <w:rPr>
                <w:lang w:val="ru-RU" w:eastAsia="ru-RU"/>
              </w:rPr>
            </w:pPr>
            <w:r>
              <w:rPr>
                <w:lang w:val="ru-RU" w:eastAsia="ru-RU"/>
              </w:rPr>
              <w:t>(38 338)</w:t>
            </w:r>
          </w:p>
        </w:tc>
        <w:tc>
          <w:tcPr>
            <w:tcW w:w="1186" w:type="dxa"/>
          </w:tcPr>
          <w:p w:rsidR="003C1AEA" w:rsidRPr="004034FB" w:rsidDel="003C1AEA" w:rsidRDefault="002A3852" w:rsidP="00A1328E">
            <w:pPr>
              <w:jc w:val="right"/>
              <w:rPr>
                <w:lang w:val="en-US" w:eastAsia="ru-RU"/>
              </w:rPr>
            </w:pPr>
            <w:r>
              <w:rPr>
                <w:lang w:val="en-US" w:eastAsia="ru-RU"/>
              </w:rPr>
              <w:t>23 822</w:t>
            </w:r>
          </w:p>
        </w:tc>
      </w:tr>
      <w:tr w:rsidR="00BF4AF6" w:rsidRPr="000453ED" w:rsidTr="003C1AEA">
        <w:trPr>
          <w:trHeight w:val="215"/>
        </w:trPr>
        <w:tc>
          <w:tcPr>
            <w:tcW w:w="673" w:type="dxa"/>
            <w:hideMark/>
          </w:tcPr>
          <w:p w:rsidR="00BF4AF6" w:rsidRPr="000453ED" w:rsidRDefault="00BF4AF6" w:rsidP="005A54C0">
            <w:pPr>
              <w:jc w:val="center"/>
              <w:rPr>
                <w:lang w:val="ru-RU" w:eastAsia="ru-RU"/>
              </w:rPr>
            </w:pPr>
            <w:r w:rsidRPr="000453ED">
              <w:rPr>
                <w:lang w:val="ru-RU" w:eastAsia="ru-RU"/>
              </w:rPr>
              <w:t>2.3.</w:t>
            </w:r>
          </w:p>
        </w:tc>
        <w:tc>
          <w:tcPr>
            <w:tcW w:w="6423" w:type="dxa"/>
            <w:hideMark/>
          </w:tcPr>
          <w:p w:rsidR="00BF4AF6" w:rsidRPr="00A83FA4" w:rsidRDefault="00BF4AF6" w:rsidP="007C4502">
            <w:pPr>
              <w:rPr>
                <w:lang w:val="en-US" w:eastAsia="ru-RU"/>
              </w:rPr>
            </w:pPr>
            <w:r w:rsidRPr="00A83FA4">
              <w:rPr>
                <w:lang w:val="en-US" w:eastAsia="ru-RU"/>
              </w:rPr>
              <w:t>Reserve reconstitution of doubtful debts</w:t>
            </w:r>
          </w:p>
        </w:tc>
        <w:tc>
          <w:tcPr>
            <w:tcW w:w="1186" w:type="dxa"/>
          </w:tcPr>
          <w:p w:rsidR="00BF4AF6" w:rsidRPr="000453ED" w:rsidRDefault="00BF4AF6" w:rsidP="00A1328E">
            <w:pPr>
              <w:jc w:val="right"/>
              <w:rPr>
                <w:lang w:val="ru-RU" w:eastAsia="ru-RU"/>
              </w:rPr>
            </w:pPr>
            <w:r>
              <w:rPr>
                <w:lang w:val="ru-RU" w:eastAsia="ru-RU"/>
              </w:rPr>
              <w:t>3 439 081</w:t>
            </w:r>
          </w:p>
        </w:tc>
        <w:tc>
          <w:tcPr>
            <w:tcW w:w="1186" w:type="dxa"/>
          </w:tcPr>
          <w:p w:rsidR="00BF4AF6" w:rsidRPr="000453ED" w:rsidDel="003C1AEA" w:rsidRDefault="00BF4AF6" w:rsidP="00A1328E">
            <w:pPr>
              <w:jc w:val="right"/>
              <w:rPr>
                <w:lang w:val="ru-RU" w:eastAsia="ru-RU"/>
              </w:rPr>
            </w:pPr>
            <w:r w:rsidRPr="000453ED">
              <w:rPr>
                <w:lang w:val="ru-RU" w:eastAsia="ru-RU"/>
              </w:rPr>
              <w:t>1 882 934</w:t>
            </w:r>
          </w:p>
        </w:tc>
      </w:tr>
      <w:tr w:rsidR="00BF4AF6" w:rsidRPr="000453ED" w:rsidTr="003C1AEA">
        <w:trPr>
          <w:trHeight w:val="215"/>
        </w:trPr>
        <w:tc>
          <w:tcPr>
            <w:tcW w:w="673" w:type="dxa"/>
            <w:hideMark/>
          </w:tcPr>
          <w:p w:rsidR="00BF4AF6" w:rsidRPr="000453ED" w:rsidRDefault="00BF4AF6" w:rsidP="005A54C0">
            <w:pPr>
              <w:jc w:val="center"/>
              <w:rPr>
                <w:lang w:val="ru-RU" w:eastAsia="ru-RU"/>
              </w:rPr>
            </w:pPr>
            <w:r w:rsidRPr="000453ED">
              <w:rPr>
                <w:lang w:val="ru-RU" w:eastAsia="ru-RU"/>
              </w:rPr>
              <w:t>2.4.</w:t>
            </w:r>
          </w:p>
        </w:tc>
        <w:tc>
          <w:tcPr>
            <w:tcW w:w="6423" w:type="dxa"/>
            <w:hideMark/>
          </w:tcPr>
          <w:p w:rsidR="00BF4AF6" w:rsidRPr="00A83FA4" w:rsidRDefault="00BF4AF6" w:rsidP="007C4502">
            <w:pPr>
              <w:rPr>
                <w:lang w:val="en-US" w:eastAsia="ru-RU"/>
              </w:rPr>
            </w:pPr>
            <w:r w:rsidRPr="00A83FA4">
              <w:rPr>
                <w:lang w:val="en-US" w:eastAsia="ru-RU"/>
              </w:rPr>
              <w:t>Reserve reconstitution under other contingent liabilities</w:t>
            </w:r>
          </w:p>
        </w:tc>
        <w:tc>
          <w:tcPr>
            <w:tcW w:w="1186" w:type="dxa"/>
          </w:tcPr>
          <w:p w:rsidR="00BF4AF6" w:rsidRPr="000453ED" w:rsidRDefault="00BF4AF6" w:rsidP="00A1328E">
            <w:pPr>
              <w:jc w:val="right"/>
              <w:rPr>
                <w:lang w:val="ru-RU" w:eastAsia="ru-RU"/>
              </w:rPr>
            </w:pPr>
            <w:r>
              <w:rPr>
                <w:lang w:val="ru-RU" w:eastAsia="ru-RU"/>
              </w:rPr>
              <w:t>(398 009)</w:t>
            </w:r>
          </w:p>
        </w:tc>
        <w:tc>
          <w:tcPr>
            <w:tcW w:w="1186" w:type="dxa"/>
          </w:tcPr>
          <w:p w:rsidR="00BF4AF6" w:rsidRPr="000453ED" w:rsidDel="003C1AEA" w:rsidRDefault="00BF4AF6" w:rsidP="00A1328E">
            <w:pPr>
              <w:jc w:val="right"/>
              <w:rPr>
                <w:lang w:val="ru-RU" w:eastAsia="ru-RU"/>
              </w:rPr>
            </w:pPr>
            <w:r w:rsidRPr="000453ED">
              <w:rPr>
                <w:lang w:val="ru-RU" w:eastAsia="ru-RU"/>
              </w:rPr>
              <w:t>(217 597)</w:t>
            </w:r>
          </w:p>
        </w:tc>
      </w:tr>
      <w:tr w:rsidR="00BF4AF6" w:rsidRPr="000453ED" w:rsidTr="003C1AEA">
        <w:trPr>
          <w:trHeight w:val="273"/>
        </w:trPr>
        <w:tc>
          <w:tcPr>
            <w:tcW w:w="673" w:type="dxa"/>
            <w:hideMark/>
          </w:tcPr>
          <w:p w:rsidR="00BF4AF6" w:rsidRPr="000453ED" w:rsidRDefault="00BF4AF6" w:rsidP="005A54C0">
            <w:pPr>
              <w:jc w:val="center"/>
              <w:rPr>
                <w:lang w:val="ru-RU" w:eastAsia="ru-RU"/>
              </w:rPr>
            </w:pPr>
            <w:r w:rsidRPr="000453ED">
              <w:rPr>
                <w:lang w:val="ru-RU" w:eastAsia="ru-RU"/>
              </w:rPr>
              <w:t>2.5.</w:t>
            </w:r>
          </w:p>
        </w:tc>
        <w:tc>
          <w:tcPr>
            <w:tcW w:w="6423" w:type="dxa"/>
            <w:hideMark/>
          </w:tcPr>
          <w:p w:rsidR="00BF4AF6" w:rsidRPr="00DE1400" w:rsidRDefault="00BF4AF6" w:rsidP="007C4502">
            <w:pPr>
              <w:rPr>
                <w:lang w:val="en-US" w:eastAsia="ru-RU"/>
              </w:rPr>
            </w:pPr>
            <w:r w:rsidRPr="00DE1400">
              <w:rPr>
                <w:lang w:val="en-US" w:eastAsia="ru-RU"/>
              </w:rPr>
              <w:t xml:space="preserve">Reserve reconstitution under depreciation of tangible assets </w:t>
            </w:r>
          </w:p>
        </w:tc>
        <w:tc>
          <w:tcPr>
            <w:tcW w:w="1186" w:type="dxa"/>
          </w:tcPr>
          <w:p w:rsidR="00BF4AF6" w:rsidRPr="000453ED" w:rsidRDefault="00BF4AF6" w:rsidP="00A1328E">
            <w:pPr>
              <w:jc w:val="right"/>
              <w:rPr>
                <w:lang w:val="ru-RU" w:eastAsia="ru-RU"/>
              </w:rPr>
            </w:pPr>
            <w:r>
              <w:rPr>
                <w:lang w:val="ru-RU" w:eastAsia="ru-RU"/>
              </w:rPr>
              <w:t>(13 616)</w:t>
            </w:r>
          </w:p>
        </w:tc>
        <w:tc>
          <w:tcPr>
            <w:tcW w:w="1186" w:type="dxa"/>
          </w:tcPr>
          <w:p w:rsidR="00BF4AF6" w:rsidRPr="000453ED" w:rsidDel="003C1AEA" w:rsidRDefault="00BF4AF6" w:rsidP="00867177">
            <w:pPr>
              <w:jc w:val="right"/>
              <w:rPr>
                <w:lang w:val="ru-RU" w:eastAsia="ru-RU"/>
              </w:rPr>
            </w:pPr>
            <w:r w:rsidRPr="000453ED">
              <w:rPr>
                <w:lang w:val="ru-RU" w:eastAsia="ru-RU"/>
              </w:rPr>
              <w:t>(77 305)</w:t>
            </w:r>
          </w:p>
        </w:tc>
      </w:tr>
      <w:tr w:rsidR="00BF4AF6" w:rsidRPr="000453ED" w:rsidTr="003C1AEA">
        <w:trPr>
          <w:trHeight w:val="277"/>
        </w:trPr>
        <w:tc>
          <w:tcPr>
            <w:tcW w:w="673" w:type="dxa"/>
            <w:hideMark/>
          </w:tcPr>
          <w:p w:rsidR="00BF4AF6" w:rsidRPr="000453ED" w:rsidRDefault="00BF4AF6" w:rsidP="005A54C0">
            <w:pPr>
              <w:jc w:val="center"/>
              <w:rPr>
                <w:lang w:val="ru-RU" w:eastAsia="ru-RU"/>
              </w:rPr>
            </w:pPr>
            <w:r w:rsidRPr="000453ED">
              <w:rPr>
                <w:lang w:val="ru-RU" w:eastAsia="ru-RU"/>
              </w:rPr>
              <w:t>2.6.</w:t>
            </w:r>
          </w:p>
        </w:tc>
        <w:tc>
          <w:tcPr>
            <w:tcW w:w="6423" w:type="dxa"/>
            <w:hideMark/>
          </w:tcPr>
          <w:p w:rsidR="00BF4AF6" w:rsidRPr="00836721" w:rsidRDefault="00BF4AF6" w:rsidP="007C4502">
            <w:pPr>
              <w:rPr>
                <w:lang w:val="ru-RU" w:eastAsia="ru-RU"/>
              </w:rPr>
            </w:pPr>
            <w:proofErr w:type="spellStart"/>
            <w:r w:rsidRPr="00A83FA4">
              <w:rPr>
                <w:lang w:val="ru-RU" w:eastAsia="ru-RU"/>
              </w:rPr>
              <w:t>Fixed</w:t>
            </w:r>
            <w:proofErr w:type="spellEnd"/>
            <w:r w:rsidRPr="00A83FA4">
              <w:rPr>
                <w:lang w:val="ru-RU" w:eastAsia="ru-RU"/>
              </w:rPr>
              <w:t xml:space="preserve"> </w:t>
            </w:r>
            <w:proofErr w:type="spellStart"/>
            <w:r w:rsidRPr="00A83FA4">
              <w:rPr>
                <w:lang w:val="ru-RU" w:eastAsia="ru-RU"/>
              </w:rPr>
              <w:t>Assets</w:t>
            </w:r>
            <w:proofErr w:type="spellEnd"/>
            <w:r w:rsidRPr="00A83FA4">
              <w:rPr>
                <w:lang w:val="ru-RU" w:eastAsia="ru-RU"/>
              </w:rPr>
              <w:t xml:space="preserve"> </w:t>
            </w:r>
            <w:proofErr w:type="spellStart"/>
            <w:r w:rsidRPr="00A83FA4">
              <w:rPr>
                <w:lang w:val="ru-RU" w:eastAsia="ru-RU"/>
              </w:rPr>
              <w:t>depreciation</w:t>
            </w:r>
            <w:proofErr w:type="spellEnd"/>
          </w:p>
        </w:tc>
        <w:tc>
          <w:tcPr>
            <w:tcW w:w="1186" w:type="dxa"/>
          </w:tcPr>
          <w:p w:rsidR="00BF4AF6" w:rsidRPr="000453ED" w:rsidRDefault="00BF4AF6" w:rsidP="00A1328E">
            <w:pPr>
              <w:jc w:val="right"/>
              <w:rPr>
                <w:lang w:val="ru-RU" w:eastAsia="ru-RU"/>
              </w:rPr>
            </w:pPr>
            <w:r>
              <w:rPr>
                <w:lang w:val="ru-RU" w:eastAsia="ru-RU"/>
              </w:rPr>
              <w:t>843 806</w:t>
            </w:r>
          </w:p>
        </w:tc>
        <w:tc>
          <w:tcPr>
            <w:tcW w:w="1186" w:type="dxa"/>
          </w:tcPr>
          <w:p w:rsidR="00BF4AF6" w:rsidRPr="000453ED" w:rsidDel="003C1AEA" w:rsidRDefault="00BF4AF6" w:rsidP="00A1328E">
            <w:pPr>
              <w:jc w:val="right"/>
              <w:rPr>
                <w:lang w:val="ru-RU" w:eastAsia="ru-RU"/>
              </w:rPr>
            </w:pPr>
            <w:r w:rsidRPr="000453ED">
              <w:rPr>
                <w:lang w:val="ru-RU" w:eastAsia="ru-RU"/>
              </w:rPr>
              <w:t>897 580</w:t>
            </w:r>
          </w:p>
        </w:tc>
      </w:tr>
      <w:tr w:rsidR="00BF4AF6" w:rsidRPr="000453ED" w:rsidTr="003C1AEA">
        <w:trPr>
          <w:trHeight w:val="188"/>
        </w:trPr>
        <w:tc>
          <w:tcPr>
            <w:tcW w:w="673" w:type="dxa"/>
            <w:hideMark/>
          </w:tcPr>
          <w:p w:rsidR="00BF4AF6" w:rsidRPr="000453ED" w:rsidRDefault="00BF4AF6" w:rsidP="005A54C0">
            <w:pPr>
              <w:jc w:val="center"/>
              <w:rPr>
                <w:lang w:val="ru-RU" w:eastAsia="ru-RU"/>
              </w:rPr>
            </w:pPr>
            <w:r w:rsidRPr="000453ED">
              <w:rPr>
                <w:lang w:val="ru-RU" w:eastAsia="ru-RU"/>
              </w:rPr>
              <w:t>2.7.</w:t>
            </w:r>
          </w:p>
        </w:tc>
        <w:tc>
          <w:tcPr>
            <w:tcW w:w="6423" w:type="dxa"/>
            <w:hideMark/>
          </w:tcPr>
          <w:p w:rsidR="00BF4AF6" w:rsidRPr="00836721" w:rsidRDefault="00BF4AF6" w:rsidP="007C4502">
            <w:pPr>
              <w:rPr>
                <w:lang w:val="ru-RU" w:eastAsia="ru-RU"/>
              </w:rPr>
            </w:pPr>
            <w:proofErr w:type="spellStart"/>
            <w:r w:rsidRPr="00A83FA4">
              <w:rPr>
                <w:lang w:val="ru-RU" w:eastAsia="ru-RU"/>
              </w:rPr>
              <w:t>Profit</w:t>
            </w:r>
            <w:proofErr w:type="spellEnd"/>
            <w:r w:rsidRPr="00A83FA4">
              <w:rPr>
                <w:lang w:val="ru-RU" w:eastAsia="ru-RU"/>
              </w:rPr>
              <w:t xml:space="preserve"> </w:t>
            </w:r>
            <w:proofErr w:type="spellStart"/>
            <w:r w:rsidRPr="00A83FA4">
              <w:rPr>
                <w:lang w:val="ru-RU" w:eastAsia="ru-RU"/>
              </w:rPr>
              <w:t>of</w:t>
            </w:r>
            <w:proofErr w:type="spellEnd"/>
            <w:r w:rsidRPr="00A83FA4">
              <w:rPr>
                <w:lang w:val="ru-RU" w:eastAsia="ru-RU"/>
              </w:rPr>
              <w:t xml:space="preserve"> </w:t>
            </w:r>
            <w:proofErr w:type="spellStart"/>
            <w:r w:rsidRPr="00A83FA4">
              <w:rPr>
                <w:lang w:val="ru-RU" w:eastAsia="ru-RU"/>
              </w:rPr>
              <w:t>previous</w:t>
            </w:r>
            <w:proofErr w:type="spellEnd"/>
            <w:r w:rsidRPr="00A83FA4">
              <w:rPr>
                <w:lang w:val="ru-RU" w:eastAsia="ru-RU"/>
              </w:rPr>
              <w:t xml:space="preserve"> </w:t>
            </w:r>
            <w:proofErr w:type="spellStart"/>
            <w:r w:rsidRPr="00A83FA4">
              <w:rPr>
                <w:lang w:val="ru-RU" w:eastAsia="ru-RU"/>
              </w:rPr>
              <w:t>years</w:t>
            </w:r>
            <w:proofErr w:type="spellEnd"/>
          </w:p>
        </w:tc>
        <w:tc>
          <w:tcPr>
            <w:tcW w:w="1186" w:type="dxa"/>
          </w:tcPr>
          <w:p w:rsidR="00BF4AF6" w:rsidRPr="000453ED" w:rsidRDefault="00BF4AF6" w:rsidP="00A1328E">
            <w:pPr>
              <w:jc w:val="right"/>
              <w:rPr>
                <w:lang w:val="ru-RU" w:eastAsia="ru-RU"/>
              </w:rPr>
            </w:pPr>
            <w:r>
              <w:rPr>
                <w:lang w:val="ru-RU" w:eastAsia="ru-RU"/>
              </w:rPr>
              <w:t>(805 111)</w:t>
            </w:r>
          </w:p>
        </w:tc>
        <w:tc>
          <w:tcPr>
            <w:tcW w:w="1186" w:type="dxa"/>
          </w:tcPr>
          <w:p w:rsidR="00BF4AF6" w:rsidRPr="000453ED" w:rsidDel="003C1AEA" w:rsidRDefault="00BF4AF6" w:rsidP="00A1328E">
            <w:pPr>
              <w:jc w:val="right"/>
              <w:rPr>
                <w:lang w:val="ru-RU" w:eastAsia="ru-RU"/>
              </w:rPr>
            </w:pPr>
            <w:r w:rsidRPr="000453ED">
              <w:rPr>
                <w:lang w:val="ru-RU" w:eastAsia="ru-RU"/>
              </w:rPr>
              <w:t>(469 684)</w:t>
            </w:r>
          </w:p>
        </w:tc>
      </w:tr>
      <w:tr w:rsidR="00BF4AF6" w:rsidRPr="000453ED" w:rsidTr="003C1AEA">
        <w:trPr>
          <w:trHeight w:val="368"/>
        </w:trPr>
        <w:tc>
          <w:tcPr>
            <w:tcW w:w="673" w:type="dxa"/>
            <w:hideMark/>
          </w:tcPr>
          <w:p w:rsidR="00BF4AF6" w:rsidRPr="000453ED" w:rsidRDefault="00BF4AF6" w:rsidP="005A54C0">
            <w:pPr>
              <w:jc w:val="center"/>
              <w:rPr>
                <w:lang w:val="ru-RU" w:eastAsia="ru-RU"/>
              </w:rPr>
            </w:pPr>
            <w:r w:rsidRPr="000453ED">
              <w:rPr>
                <w:lang w:val="ru-RU" w:eastAsia="ru-RU"/>
              </w:rPr>
              <w:t>2.8.</w:t>
            </w:r>
          </w:p>
        </w:tc>
        <w:tc>
          <w:tcPr>
            <w:tcW w:w="6423" w:type="dxa"/>
            <w:hideMark/>
          </w:tcPr>
          <w:p w:rsidR="00BF4AF6" w:rsidRPr="00A83FA4" w:rsidRDefault="00BF4AF6" w:rsidP="007C4502">
            <w:pPr>
              <w:rPr>
                <w:lang w:val="en-US" w:eastAsia="ru-RU"/>
              </w:rPr>
            </w:pPr>
            <w:r w:rsidRPr="00A83FA4">
              <w:rPr>
                <w:lang w:val="en-US" w:eastAsia="ru-RU"/>
              </w:rPr>
              <w:t>Expenses of previous tax periods considered in previous tax periods on the basis of the specified declaration</w:t>
            </w:r>
          </w:p>
        </w:tc>
        <w:tc>
          <w:tcPr>
            <w:tcW w:w="1186" w:type="dxa"/>
          </w:tcPr>
          <w:p w:rsidR="00BF4AF6" w:rsidRPr="000453ED" w:rsidRDefault="00BF4AF6" w:rsidP="00A1328E">
            <w:pPr>
              <w:jc w:val="right"/>
              <w:rPr>
                <w:lang w:val="ru-RU" w:eastAsia="ru-RU"/>
              </w:rPr>
            </w:pPr>
            <w:r>
              <w:rPr>
                <w:lang w:val="ru-RU" w:eastAsia="ru-RU"/>
              </w:rPr>
              <w:t>2 233 014</w:t>
            </w:r>
          </w:p>
        </w:tc>
        <w:tc>
          <w:tcPr>
            <w:tcW w:w="1186" w:type="dxa"/>
          </w:tcPr>
          <w:p w:rsidR="00BF4AF6" w:rsidRPr="000453ED" w:rsidDel="003C1AEA" w:rsidRDefault="00BF4AF6" w:rsidP="00A1328E">
            <w:pPr>
              <w:jc w:val="right"/>
              <w:rPr>
                <w:lang w:val="ru-RU" w:eastAsia="ru-RU"/>
              </w:rPr>
            </w:pPr>
            <w:r w:rsidRPr="000453ED">
              <w:rPr>
                <w:lang w:val="ru-RU" w:eastAsia="ru-RU"/>
              </w:rPr>
              <w:t>629 263</w:t>
            </w:r>
          </w:p>
        </w:tc>
      </w:tr>
      <w:tr w:rsidR="00BF4AF6" w:rsidRPr="000453ED" w:rsidTr="003C1AEA">
        <w:trPr>
          <w:trHeight w:val="197"/>
        </w:trPr>
        <w:tc>
          <w:tcPr>
            <w:tcW w:w="673" w:type="dxa"/>
            <w:hideMark/>
          </w:tcPr>
          <w:p w:rsidR="00BF4AF6" w:rsidRPr="000453ED" w:rsidRDefault="00BF4AF6" w:rsidP="005A54C0">
            <w:pPr>
              <w:jc w:val="center"/>
              <w:rPr>
                <w:lang w:val="ru-RU" w:eastAsia="ru-RU"/>
              </w:rPr>
            </w:pPr>
            <w:r w:rsidRPr="000453ED">
              <w:rPr>
                <w:lang w:val="ru-RU" w:eastAsia="ru-RU"/>
              </w:rPr>
              <w:t>2.9.</w:t>
            </w:r>
          </w:p>
        </w:tc>
        <w:tc>
          <w:tcPr>
            <w:tcW w:w="6423" w:type="dxa"/>
            <w:hideMark/>
          </w:tcPr>
          <w:p w:rsidR="00BF4AF6" w:rsidRPr="00A83FA4" w:rsidRDefault="00BF4AF6" w:rsidP="007C4502">
            <w:pPr>
              <w:rPr>
                <w:lang w:val="en-US" w:eastAsia="ru-RU"/>
              </w:rPr>
            </w:pPr>
            <w:r w:rsidRPr="00A83FA4">
              <w:rPr>
                <w:lang w:val="en-US" w:eastAsia="ru-RU"/>
              </w:rPr>
              <w:t>Expenses on charity</w:t>
            </w:r>
          </w:p>
        </w:tc>
        <w:tc>
          <w:tcPr>
            <w:tcW w:w="1186" w:type="dxa"/>
          </w:tcPr>
          <w:p w:rsidR="00BF4AF6" w:rsidRPr="000453ED" w:rsidRDefault="00BF4AF6" w:rsidP="00A1328E">
            <w:pPr>
              <w:jc w:val="right"/>
              <w:rPr>
                <w:lang w:val="ru-RU" w:eastAsia="ru-RU"/>
              </w:rPr>
            </w:pPr>
            <w:r>
              <w:rPr>
                <w:lang w:val="ru-RU" w:eastAsia="ru-RU"/>
              </w:rPr>
              <w:t>-</w:t>
            </w:r>
          </w:p>
        </w:tc>
        <w:tc>
          <w:tcPr>
            <w:tcW w:w="1186" w:type="dxa"/>
          </w:tcPr>
          <w:p w:rsidR="00BF4AF6" w:rsidRPr="000453ED" w:rsidDel="003C1AEA" w:rsidRDefault="00BF4AF6" w:rsidP="00A1328E">
            <w:pPr>
              <w:jc w:val="right"/>
              <w:rPr>
                <w:lang w:val="ru-RU" w:eastAsia="ru-RU"/>
              </w:rPr>
            </w:pPr>
            <w:r w:rsidRPr="000453ED">
              <w:rPr>
                <w:lang w:val="ru-RU" w:eastAsia="ru-RU"/>
              </w:rPr>
              <w:t>2 228</w:t>
            </w:r>
          </w:p>
        </w:tc>
      </w:tr>
      <w:tr w:rsidR="00BF4AF6" w:rsidRPr="000453ED" w:rsidTr="007C4502">
        <w:trPr>
          <w:trHeight w:val="170"/>
        </w:trPr>
        <w:tc>
          <w:tcPr>
            <w:tcW w:w="673" w:type="dxa"/>
            <w:hideMark/>
          </w:tcPr>
          <w:p w:rsidR="00BF4AF6" w:rsidRPr="000453ED" w:rsidRDefault="00BF4AF6" w:rsidP="005A54C0">
            <w:pPr>
              <w:jc w:val="center"/>
              <w:rPr>
                <w:lang w:val="ru-RU" w:eastAsia="ru-RU"/>
              </w:rPr>
            </w:pPr>
            <w:r w:rsidRPr="000453ED">
              <w:rPr>
                <w:lang w:val="ru-RU" w:eastAsia="ru-RU"/>
              </w:rPr>
              <w:t>2.10.</w:t>
            </w:r>
          </w:p>
        </w:tc>
        <w:tc>
          <w:tcPr>
            <w:tcW w:w="6423" w:type="dxa"/>
            <w:vAlign w:val="bottom"/>
            <w:hideMark/>
          </w:tcPr>
          <w:p w:rsidR="00BF4AF6" w:rsidRPr="00A83FA4" w:rsidRDefault="00BF4AF6" w:rsidP="007C4502">
            <w:pPr>
              <w:rPr>
                <w:lang w:val="en-US" w:eastAsia="ru-RU"/>
              </w:rPr>
            </w:pPr>
            <w:r>
              <w:rPr>
                <w:lang w:val="en-US" w:eastAsia="ru-RU"/>
              </w:rPr>
              <w:t>Accounts</w:t>
            </w:r>
            <w:r w:rsidRPr="00A83FA4">
              <w:rPr>
                <w:lang w:val="en-US" w:eastAsia="ru-RU"/>
              </w:rPr>
              <w:t xml:space="preserve"> receivable write-off</w:t>
            </w:r>
          </w:p>
        </w:tc>
        <w:tc>
          <w:tcPr>
            <w:tcW w:w="1186" w:type="dxa"/>
          </w:tcPr>
          <w:p w:rsidR="00BF4AF6" w:rsidRPr="000453ED" w:rsidRDefault="00BF4AF6" w:rsidP="00A1328E">
            <w:pPr>
              <w:jc w:val="right"/>
              <w:rPr>
                <w:lang w:val="ru-RU" w:eastAsia="ru-RU"/>
              </w:rPr>
            </w:pPr>
            <w:r>
              <w:rPr>
                <w:lang w:val="ru-RU" w:eastAsia="ru-RU"/>
              </w:rPr>
              <w:t>29 562</w:t>
            </w:r>
          </w:p>
        </w:tc>
        <w:tc>
          <w:tcPr>
            <w:tcW w:w="1186" w:type="dxa"/>
          </w:tcPr>
          <w:p w:rsidR="00BF4AF6" w:rsidRPr="000453ED" w:rsidDel="003C1AEA" w:rsidRDefault="00BF4AF6" w:rsidP="00A1328E">
            <w:pPr>
              <w:jc w:val="right"/>
              <w:rPr>
                <w:lang w:val="ru-RU" w:eastAsia="ru-RU"/>
              </w:rPr>
            </w:pPr>
            <w:r w:rsidRPr="000453ED">
              <w:rPr>
                <w:lang w:val="ru-RU" w:eastAsia="ru-RU"/>
              </w:rPr>
              <w:t>3 722</w:t>
            </w:r>
          </w:p>
        </w:tc>
      </w:tr>
      <w:tr w:rsidR="00BF4AF6" w:rsidRPr="000453ED" w:rsidTr="007C4502">
        <w:trPr>
          <w:trHeight w:val="192"/>
        </w:trPr>
        <w:tc>
          <w:tcPr>
            <w:tcW w:w="673" w:type="dxa"/>
            <w:hideMark/>
          </w:tcPr>
          <w:p w:rsidR="00BF4AF6" w:rsidRPr="000453ED" w:rsidRDefault="00BF4AF6" w:rsidP="005A54C0">
            <w:pPr>
              <w:jc w:val="center"/>
              <w:rPr>
                <w:lang w:val="ru-RU" w:eastAsia="ru-RU"/>
              </w:rPr>
            </w:pPr>
            <w:r w:rsidRPr="000453ED">
              <w:rPr>
                <w:lang w:val="ru-RU" w:eastAsia="ru-RU"/>
              </w:rPr>
              <w:t>2.11.</w:t>
            </w:r>
          </w:p>
        </w:tc>
        <w:tc>
          <w:tcPr>
            <w:tcW w:w="6423" w:type="dxa"/>
            <w:vAlign w:val="bottom"/>
            <w:hideMark/>
          </w:tcPr>
          <w:p w:rsidR="00BF4AF6" w:rsidRPr="00A83FA4" w:rsidRDefault="00BF4AF6" w:rsidP="007C4502">
            <w:pPr>
              <w:rPr>
                <w:lang w:val="ru-RU" w:eastAsia="ru-RU"/>
              </w:rPr>
            </w:pPr>
            <w:proofErr w:type="spellStart"/>
            <w:r w:rsidRPr="00A83FA4">
              <w:rPr>
                <w:lang w:val="ru-RU" w:eastAsia="ru-RU"/>
              </w:rPr>
              <w:t>Cultural</w:t>
            </w:r>
            <w:proofErr w:type="spellEnd"/>
            <w:r w:rsidRPr="00A83FA4">
              <w:rPr>
                <w:lang w:val="ru-RU" w:eastAsia="ru-RU"/>
              </w:rPr>
              <w:t xml:space="preserve"> </w:t>
            </w:r>
            <w:proofErr w:type="spellStart"/>
            <w:r w:rsidRPr="00A83FA4">
              <w:rPr>
                <w:lang w:val="ru-RU" w:eastAsia="ru-RU"/>
              </w:rPr>
              <w:t>and</w:t>
            </w:r>
            <w:proofErr w:type="spellEnd"/>
            <w:r w:rsidRPr="00A83FA4">
              <w:rPr>
                <w:lang w:val="ru-RU" w:eastAsia="ru-RU"/>
              </w:rPr>
              <w:t xml:space="preserve"> </w:t>
            </w:r>
            <w:proofErr w:type="spellStart"/>
            <w:r w:rsidRPr="00A83FA4">
              <w:rPr>
                <w:lang w:val="ru-RU" w:eastAsia="ru-RU"/>
              </w:rPr>
              <w:t>sports</w:t>
            </w:r>
            <w:proofErr w:type="spellEnd"/>
            <w:r w:rsidRPr="00A83FA4">
              <w:rPr>
                <w:lang w:val="ru-RU" w:eastAsia="ru-RU"/>
              </w:rPr>
              <w:t xml:space="preserve"> </w:t>
            </w:r>
            <w:proofErr w:type="spellStart"/>
            <w:r w:rsidRPr="00A83FA4">
              <w:rPr>
                <w:lang w:val="ru-RU" w:eastAsia="ru-RU"/>
              </w:rPr>
              <w:t>events</w:t>
            </w:r>
            <w:proofErr w:type="spellEnd"/>
          </w:p>
        </w:tc>
        <w:tc>
          <w:tcPr>
            <w:tcW w:w="1186" w:type="dxa"/>
          </w:tcPr>
          <w:p w:rsidR="00BF4AF6" w:rsidRPr="000453ED" w:rsidRDefault="00BF4AF6" w:rsidP="00A1328E">
            <w:pPr>
              <w:jc w:val="right"/>
              <w:rPr>
                <w:lang w:val="ru-RU" w:eastAsia="ru-RU"/>
              </w:rPr>
            </w:pPr>
            <w:r>
              <w:rPr>
                <w:lang w:val="ru-RU" w:eastAsia="ru-RU"/>
              </w:rPr>
              <w:t>45 087</w:t>
            </w:r>
          </w:p>
        </w:tc>
        <w:tc>
          <w:tcPr>
            <w:tcW w:w="1186" w:type="dxa"/>
          </w:tcPr>
          <w:p w:rsidR="00BF4AF6" w:rsidRPr="000453ED" w:rsidDel="003C1AEA" w:rsidRDefault="00BF4AF6" w:rsidP="00A1328E">
            <w:pPr>
              <w:jc w:val="right"/>
              <w:rPr>
                <w:lang w:val="ru-RU" w:eastAsia="ru-RU"/>
              </w:rPr>
            </w:pPr>
            <w:r w:rsidRPr="000453ED">
              <w:rPr>
                <w:lang w:val="ru-RU" w:eastAsia="ru-RU"/>
              </w:rPr>
              <w:t>13 795</w:t>
            </w:r>
          </w:p>
        </w:tc>
      </w:tr>
      <w:tr w:rsidR="00BF4AF6" w:rsidRPr="000453ED" w:rsidTr="007C4502">
        <w:trPr>
          <w:trHeight w:val="237"/>
        </w:trPr>
        <w:tc>
          <w:tcPr>
            <w:tcW w:w="673" w:type="dxa"/>
            <w:hideMark/>
          </w:tcPr>
          <w:p w:rsidR="00BF4AF6" w:rsidRPr="000453ED" w:rsidRDefault="00BF4AF6" w:rsidP="005A54C0">
            <w:pPr>
              <w:jc w:val="center"/>
              <w:rPr>
                <w:lang w:val="ru-RU" w:eastAsia="ru-RU"/>
              </w:rPr>
            </w:pPr>
            <w:r w:rsidRPr="000453ED">
              <w:rPr>
                <w:lang w:val="ru-RU" w:eastAsia="ru-RU"/>
              </w:rPr>
              <w:t>2.12.</w:t>
            </w:r>
          </w:p>
        </w:tc>
        <w:tc>
          <w:tcPr>
            <w:tcW w:w="6423" w:type="dxa"/>
            <w:vAlign w:val="bottom"/>
            <w:hideMark/>
          </w:tcPr>
          <w:p w:rsidR="00BF4AF6" w:rsidRPr="00DE1400" w:rsidRDefault="00BF4AF6" w:rsidP="007C4502">
            <w:pPr>
              <w:rPr>
                <w:lang w:val="en-US" w:eastAsia="ru-RU"/>
              </w:rPr>
            </w:pPr>
            <w:r w:rsidRPr="00DE1400">
              <w:rPr>
                <w:lang w:val="en-US" w:eastAsia="ru-RU"/>
              </w:rPr>
              <w:t>Payments to the Board of Directors and Audit Commission</w:t>
            </w:r>
          </w:p>
        </w:tc>
        <w:tc>
          <w:tcPr>
            <w:tcW w:w="1186" w:type="dxa"/>
          </w:tcPr>
          <w:p w:rsidR="00BF4AF6" w:rsidRPr="000453ED" w:rsidRDefault="00BF4AF6" w:rsidP="00A1328E">
            <w:pPr>
              <w:jc w:val="right"/>
              <w:rPr>
                <w:lang w:val="ru-RU" w:eastAsia="ru-RU"/>
              </w:rPr>
            </w:pPr>
            <w:r>
              <w:rPr>
                <w:lang w:val="ru-RU" w:eastAsia="ru-RU"/>
              </w:rPr>
              <w:t>17 322</w:t>
            </w:r>
          </w:p>
        </w:tc>
        <w:tc>
          <w:tcPr>
            <w:tcW w:w="1186" w:type="dxa"/>
          </w:tcPr>
          <w:p w:rsidR="00BF4AF6" w:rsidRPr="000453ED" w:rsidDel="003C1AEA" w:rsidRDefault="00BF4AF6" w:rsidP="00A1328E">
            <w:pPr>
              <w:jc w:val="right"/>
              <w:rPr>
                <w:lang w:val="ru-RU" w:eastAsia="ru-RU"/>
              </w:rPr>
            </w:pPr>
            <w:r w:rsidRPr="000453ED">
              <w:rPr>
                <w:lang w:val="ru-RU" w:eastAsia="ru-RU"/>
              </w:rPr>
              <w:t>40 042</w:t>
            </w:r>
          </w:p>
        </w:tc>
      </w:tr>
      <w:tr w:rsidR="00BF4AF6" w:rsidRPr="000453ED" w:rsidTr="007C4502">
        <w:trPr>
          <w:trHeight w:val="170"/>
        </w:trPr>
        <w:tc>
          <w:tcPr>
            <w:tcW w:w="673" w:type="dxa"/>
            <w:hideMark/>
          </w:tcPr>
          <w:p w:rsidR="00BF4AF6" w:rsidRPr="000453ED" w:rsidRDefault="00BF4AF6" w:rsidP="005A54C0">
            <w:pPr>
              <w:jc w:val="center"/>
              <w:rPr>
                <w:lang w:val="ru-RU" w:eastAsia="ru-RU"/>
              </w:rPr>
            </w:pPr>
            <w:r w:rsidRPr="000453ED">
              <w:rPr>
                <w:lang w:val="ru-RU" w:eastAsia="ru-RU"/>
              </w:rPr>
              <w:t>2.13.</w:t>
            </w:r>
          </w:p>
        </w:tc>
        <w:tc>
          <w:tcPr>
            <w:tcW w:w="6423" w:type="dxa"/>
            <w:vAlign w:val="bottom"/>
            <w:hideMark/>
          </w:tcPr>
          <w:p w:rsidR="00BF4AF6" w:rsidRPr="00A83FA4" w:rsidRDefault="00BF4AF6" w:rsidP="007C4502">
            <w:pPr>
              <w:rPr>
                <w:lang w:val="ru-RU" w:eastAsia="ru-RU"/>
              </w:rPr>
            </w:pPr>
            <w:proofErr w:type="spellStart"/>
            <w:r w:rsidRPr="00A83FA4">
              <w:rPr>
                <w:lang w:val="ru-RU" w:eastAsia="ru-RU"/>
              </w:rPr>
              <w:t>Nonreimbursable</w:t>
            </w:r>
            <w:proofErr w:type="spellEnd"/>
            <w:r w:rsidRPr="00A83FA4">
              <w:rPr>
                <w:lang w:val="ru-RU" w:eastAsia="ru-RU"/>
              </w:rPr>
              <w:t xml:space="preserve"> VAT</w:t>
            </w:r>
          </w:p>
        </w:tc>
        <w:tc>
          <w:tcPr>
            <w:tcW w:w="1186" w:type="dxa"/>
          </w:tcPr>
          <w:p w:rsidR="00BF4AF6" w:rsidRPr="000453ED" w:rsidRDefault="00BF4AF6" w:rsidP="00A1328E">
            <w:pPr>
              <w:jc w:val="right"/>
              <w:rPr>
                <w:lang w:val="ru-RU" w:eastAsia="ru-RU"/>
              </w:rPr>
            </w:pPr>
            <w:r>
              <w:rPr>
                <w:lang w:val="ru-RU" w:eastAsia="ru-RU"/>
              </w:rPr>
              <w:t>69 744</w:t>
            </w:r>
          </w:p>
        </w:tc>
        <w:tc>
          <w:tcPr>
            <w:tcW w:w="1186" w:type="dxa"/>
          </w:tcPr>
          <w:p w:rsidR="00BF4AF6" w:rsidRPr="000453ED" w:rsidDel="003C1AEA" w:rsidRDefault="00BF4AF6" w:rsidP="00A1328E">
            <w:pPr>
              <w:jc w:val="right"/>
              <w:rPr>
                <w:lang w:val="ru-RU" w:eastAsia="ru-RU"/>
              </w:rPr>
            </w:pPr>
            <w:r w:rsidRPr="000453ED">
              <w:rPr>
                <w:lang w:val="ru-RU" w:eastAsia="ru-RU"/>
              </w:rPr>
              <w:t>69 818</w:t>
            </w:r>
          </w:p>
        </w:tc>
      </w:tr>
      <w:tr w:rsidR="00BF4AF6" w:rsidRPr="000453ED" w:rsidTr="007C4502">
        <w:trPr>
          <w:trHeight w:val="215"/>
        </w:trPr>
        <w:tc>
          <w:tcPr>
            <w:tcW w:w="673" w:type="dxa"/>
            <w:hideMark/>
          </w:tcPr>
          <w:p w:rsidR="00BF4AF6" w:rsidRPr="000453ED" w:rsidRDefault="00BF4AF6" w:rsidP="005A54C0">
            <w:pPr>
              <w:jc w:val="center"/>
              <w:rPr>
                <w:lang w:val="ru-RU" w:eastAsia="ru-RU"/>
              </w:rPr>
            </w:pPr>
            <w:r w:rsidRPr="000453ED">
              <w:rPr>
                <w:lang w:val="ru-RU" w:eastAsia="ru-RU"/>
              </w:rPr>
              <w:t>2.14.</w:t>
            </w:r>
          </w:p>
        </w:tc>
        <w:tc>
          <w:tcPr>
            <w:tcW w:w="6423" w:type="dxa"/>
            <w:vAlign w:val="bottom"/>
            <w:hideMark/>
          </w:tcPr>
          <w:p w:rsidR="00BF4AF6" w:rsidRPr="00DE1400" w:rsidRDefault="00BF4AF6" w:rsidP="007C4502">
            <w:pPr>
              <w:pStyle w:val="Text-in-table"/>
              <w:rPr>
                <w:sz w:val="20"/>
                <w:lang w:val="en-US" w:eastAsia="ru-RU"/>
              </w:rPr>
            </w:pPr>
            <w:r w:rsidRPr="00DE1400">
              <w:rPr>
                <w:sz w:val="20"/>
                <w:lang w:val="en-US" w:eastAsia="ru-RU"/>
              </w:rPr>
              <w:t>Deductions and payments to employees of trade-union committee</w:t>
            </w:r>
          </w:p>
        </w:tc>
        <w:tc>
          <w:tcPr>
            <w:tcW w:w="1186" w:type="dxa"/>
          </w:tcPr>
          <w:p w:rsidR="00BF4AF6" w:rsidRPr="000453ED" w:rsidRDefault="00BF4AF6" w:rsidP="00A1328E">
            <w:pPr>
              <w:jc w:val="right"/>
              <w:rPr>
                <w:lang w:val="ru-RU" w:eastAsia="ru-RU"/>
              </w:rPr>
            </w:pPr>
            <w:r>
              <w:rPr>
                <w:lang w:val="ru-RU" w:eastAsia="ru-RU"/>
              </w:rPr>
              <w:t>51 605</w:t>
            </w:r>
          </w:p>
        </w:tc>
        <w:tc>
          <w:tcPr>
            <w:tcW w:w="1186" w:type="dxa"/>
          </w:tcPr>
          <w:p w:rsidR="00BF4AF6" w:rsidRPr="000453ED" w:rsidDel="003C1AEA" w:rsidRDefault="00BF4AF6" w:rsidP="00A1328E">
            <w:pPr>
              <w:jc w:val="right"/>
              <w:rPr>
                <w:lang w:val="ru-RU" w:eastAsia="ru-RU"/>
              </w:rPr>
            </w:pPr>
            <w:r w:rsidRPr="000453ED">
              <w:rPr>
                <w:lang w:val="ru-RU" w:eastAsia="ru-RU"/>
              </w:rPr>
              <w:t>51 091</w:t>
            </w:r>
          </w:p>
        </w:tc>
      </w:tr>
      <w:tr w:rsidR="003C1AEA" w:rsidRPr="000453ED" w:rsidTr="003C1AEA">
        <w:trPr>
          <w:trHeight w:val="70"/>
        </w:trPr>
        <w:tc>
          <w:tcPr>
            <w:tcW w:w="673" w:type="dxa"/>
            <w:hideMark/>
          </w:tcPr>
          <w:p w:rsidR="003C1AEA" w:rsidRPr="000453ED" w:rsidRDefault="003C1AEA" w:rsidP="005A54C0">
            <w:pPr>
              <w:jc w:val="center"/>
              <w:rPr>
                <w:lang w:val="ru-RU" w:eastAsia="ru-RU"/>
              </w:rPr>
            </w:pPr>
            <w:r w:rsidRPr="000453ED">
              <w:rPr>
                <w:lang w:val="ru-RU" w:eastAsia="ru-RU"/>
              </w:rPr>
              <w:t>2.</w:t>
            </w:r>
            <w:r w:rsidR="00AB1873" w:rsidRPr="000453ED">
              <w:rPr>
                <w:lang w:val="ru-RU" w:eastAsia="ru-RU"/>
              </w:rPr>
              <w:t>1</w:t>
            </w:r>
            <w:r w:rsidR="00AB1873">
              <w:rPr>
                <w:lang w:val="ru-RU" w:eastAsia="ru-RU"/>
              </w:rPr>
              <w:t>5</w:t>
            </w:r>
            <w:r w:rsidRPr="000453ED">
              <w:rPr>
                <w:lang w:val="ru-RU" w:eastAsia="ru-RU"/>
              </w:rPr>
              <w:t>.</w:t>
            </w:r>
          </w:p>
        </w:tc>
        <w:tc>
          <w:tcPr>
            <w:tcW w:w="6423" w:type="dxa"/>
            <w:hideMark/>
          </w:tcPr>
          <w:p w:rsidR="003C1AEA" w:rsidRPr="00BF4AF6" w:rsidRDefault="00BF4AF6" w:rsidP="00FC4250">
            <w:pPr>
              <w:rPr>
                <w:lang w:val="en-US" w:eastAsia="ru-RU"/>
              </w:rPr>
            </w:pPr>
            <w:r w:rsidRPr="00DE1400">
              <w:rPr>
                <w:lang w:val="en-US" w:eastAsia="ru-RU"/>
              </w:rPr>
              <w:t>Penalties, penalty fee, penalties, payments under settlement agreements</w:t>
            </w:r>
          </w:p>
        </w:tc>
        <w:tc>
          <w:tcPr>
            <w:tcW w:w="1186" w:type="dxa"/>
          </w:tcPr>
          <w:p w:rsidR="003C1AEA" w:rsidRPr="000453ED" w:rsidRDefault="000453ED" w:rsidP="00A1328E">
            <w:pPr>
              <w:jc w:val="right"/>
              <w:rPr>
                <w:lang w:val="ru-RU" w:eastAsia="ru-RU"/>
              </w:rPr>
            </w:pPr>
            <w:r>
              <w:rPr>
                <w:lang w:val="ru-RU" w:eastAsia="ru-RU"/>
              </w:rPr>
              <w:t>63 542</w:t>
            </w:r>
          </w:p>
        </w:tc>
        <w:tc>
          <w:tcPr>
            <w:tcW w:w="1186" w:type="dxa"/>
          </w:tcPr>
          <w:p w:rsidR="003C1AEA" w:rsidRPr="000453ED" w:rsidDel="003C1AEA" w:rsidRDefault="003C1AEA" w:rsidP="00A1328E">
            <w:pPr>
              <w:jc w:val="right"/>
              <w:rPr>
                <w:lang w:val="ru-RU" w:eastAsia="ru-RU"/>
              </w:rPr>
            </w:pPr>
            <w:r w:rsidRPr="000453ED">
              <w:rPr>
                <w:lang w:val="ru-RU" w:eastAsia="ru-RU"/>
              </w:rPr>
              <w:t>9 524</w:t>
            </w:r>
          </w:p>
        </w:tc>
      </w:tr>
      <w:tr w:rsidR="00BF4AF6" w:rsidRPr="000453ED" w:rsidTr="003C1AEA">
        <w:trPr>
          <w:trHeight w:val="287"/>
        </w:trPr>
        <w:tc>
          <w:tcPr>
            <w:tcW w:w="673" w:type="dxa"/>
            <w:hideMark/>
          </w:tcPr>
          <w:p w:rsidR="00BF4AF6" w:rsidRPr="000453ED" w:rsidRDefault="00BF4AF6" w:rsidP="005A54C0">
            <w:pPr>
              <w:jc w:val="center"/>
              <w:rPr>
                <w:lang w:val="ru-RU" w:eastAsia="ru-RU"/>
              </w:rPr>
            </w:pPr>
            <w:r w:rsidRPr="000453ED">
              <w:rPr>
                <w:lang w:val="ru-RU" w:eastAsia="ru-RU"/>
              </w:rPr>
              <w:t>2.1</w:t>
            </w:r>
            <w:r>
              <w:rPr>
                <w:lang w:val="ru-RU" w:eastAsia="ru-RU"/>
              </w:rPr>
              <w:t>6</w:t>
            </w:r>
            <w:r w:rsidRPr="000453ED">
              <w:rPr>
                <w:lang w:val="ru-RU" w:eastAsia="ru-RU"/>
              </w:rPr>
              <w:t>.</w:t>
            </w:r>
          </w:p>
        </w:tc>
        <w:tc>
          <w:tcPr>
            <w:tcW w:w="6423" w:type="dxa"/>
            <w:hideMark/>
          </w:tcPr>
          <w:p w:rsidR="00BF4AF6" w:rsidRPr="00A83FA4" w:rsidRDefault="00BF4AF6" w:rsidP="007C4502">
            <w:pPr>
              <w:shd w:val="clear" w:color="auto" w:fill="FFFFFF"/>
              <w:rPr>
                <w:lang w:val="ru-RU" w:eastAsia="ru-RU"/>
              </w:rPr>
            </w:pPr>
            <w:proofErr w:type="spellStart"/>
            <w:r w:rsidRPr="00A83FA4">
              <w:rPr>
                <w:lang w:val="ru-RU" w:eastAsia="ru-RU"/>
              </w:rPr>
              <w:t>Reserve</w:t>
            </w:r>
            <w:proofErr w:type="spellEnd"/>
            <w:r w:rsidRPr="00A83FA4">
              <w:rPr>
                <w:lang w:val="ru-RU" w:eastAsia="ru-RU"/>
              </w:rPr>
              <w:t xml:space="preserve"> </w:t>
            </w:r>
            <w:proofErr w:type="spellStart"/>
            <w:r w:rsidRPr="00A83FA4">
              <w:rPr>
                <w:lang w:val="ru-RU" w:eastAsia="ru-RU"/>
              </w:rPr>
              <w:t>on</w:t>
            </w:r>
            <w:proofErr w:type="spellEnd"/>
            <w:r w:rsidRPr="00A83FA4">
              <w:rPr>
                <w:lang w:val="ru-RU" w:eastAsia="ru-RU"/>
              </w:rPr>
              <w:t xml:space="preserve"> </w:t>
            </w:r>
            <w:proofErr w:type="spellStart"/>
            <w:r w:rsidRPr="00A83FA4">
              <w:rPr>
                <w:lang w:val="ru-RU" w:eastAsia="ru-RU"/>
              </w:rPr>
              <w:t>doubtful</w:t>
            </w:r>
            <w:proofErr w:type="spellEnd"/>
            <w:r w:rsidRPr="00A83FA4">
              <w:rPr>
                <w:lang w:val="ru-RU" w:eastAsia="ru-RU"/>
              </w:rPr>
              <w:t xml:space="preserve"> </w:t>
            </w:r>
            <w:proofErr w:type="spellStart"/>
            <w:r w:rsidRPr="00A83FA4">
              <w:rPr>
                <w:lang w:val="ru-RU" w:eastAsia="ru-RU"/>
              </w:rPr>
              <w:t>debts</w:t>
            </w:r>
            <w:proofErr w:type="spellEnd"/>
          </w:p>
        </w:tc>
        <w:tc>
          <w:tcPr>
            <w:tcW w:w="1186" w:type="dxa"/>
          </w:tcPr>
          <w:p w:rsidR="00BF4AF6" w:rsidRPr="000453ED" w:rsidRDefault="00BF4AF6" w:rsidP="00A1328E">
            <w:pPr>
              <w:jc w:val="right"/>
              <w:rPr>
                <w:lang w:val="ru-RU" w:eastAsia="ru-RU"/>
              </w:rPr>
            </w:pPr>
            <w:r>
              <w:rPr>
                <w:lang w:val="ru-RU" w:eastAsia="ru-RU"/>
              </w:rPr>
              <w:t>(4 854 998)</w:t>
            </w:r>
          </w:p>
        </w:tc>
        <w:tc>
          <w:tcPr>
            <w:tcW w:w="1186" w:type="dxa"/>
          </w:tcPr>
          <w:p w:rsidR="00BF4AF6" w:rsidRPr="000453ED" w:rsidDel="003C1AEA" w:rsidRDefault="00BF4AF6" w:rsidP="00A1328E">
            <w:pPr>
              <w:jc w:val="right"/>
              <w:rPr>
                <w:lang w:val="ru-RU" w:eastAsia="ru-RU"/>
              </w:rPr>
            </w:pPr>
            <w:r w:rsidRPr="000453ED">
              <w:rPr>
                <w:lang w:val="ru-RU" w:eastAsia="ru-RU"/>
              </w:rPr>
              <w:t>1 390 834</w:t>
            </w:r>
          </w:p>
        </w:tc>
      </w:tr>
      <w:tr w:rsidR="00BF4AF6" w:rsidRPr="000453ED" w:rsidTr="003C1AEA">
        <w:trPr>
          <w:trHeight w:val="287"/>
        </w:trPr>
        <w:tc>
          <w:tcPr>
            <w:tcW w:w="673" w:type="dxa"/>
            <w:hideMark/>
          </w:tcPr>
          <w:p w:rsidR="00BF4AF6" w:rsidRPr="000453ED" w:rsidRDefault="00BF4AF6" w:rsidP="005A54C0">
            <w:pPr>
              <w:jc w:val="center"/>
              <w:rPr>
                <w:lang w:val="ru-RU" w:eastAsia="ru-RU"/>
              </w:rPr>
            </w:pPr>
            <w:r w:rsidRPr="000453ED">
              <w:rPr>
                <w:lang w:val="ru-RU" w:eastAsia="ru-RU"/>
              </w:rPr>
              <w:t>2.1</w:t>
            </w:r>
            <w:r>
              <w:rPr>
                <w:lang w:val="ru-RU" w:eastAsia="ru-RU"/>
              </w:rPr>
              <w:t>7</w:t>
            </w:r>
            <w:r w:rsidRPr="000453ED">
              <w:rPr>
                <w:lang w:val="ru-RU" w:eastAsia="ru-RU"/>
              </w:rPr>
              <w:t>.</w:t>
            </w:r>
          </w:p>
        </w:tc>
        <w:tc>
          <w:tcPr>
            <w:tcW w:w="6423" w:type="dxa"/>
            <w:hideMark/>
          </w:tcPr>
          <w:p w:rsidR="00BF4AF6" w:rsidRPr="00DE1400" w:rsidRDefault="00BF4AF6" w:rsidP="007C4502">
            <w:pPr>
              <w:shd w:val="clear" w:color="auto" w:fill="FFFFFF"/>
              <w:rPr>
                <w:lang w:val="en-US" w:eastAsia="ru-RU"/>
              </w:rPr>
            </w:pPr>
            <w:r w:rsidRPr="00DE1400">
              <w:rPr>
                <w:lang w:val="en-US" w:eastAsia="ru-RU"/>
              </w:rPr>
              <w:t>Reserve under other contingent liabilities</w:t>
            </w:r>
          </w:p>
        </w:tc>
        <w:tc>
          <w:tcPr>
            <w:tcW w:w="1186" w:type="dxa"/>
          </w:tcPr>
          <w:p w:rsidR="00BF4AF6" w:rsidRPr="000453ED" w:rsidRDefault="00BF4AF6" w:rsidP="00A1328E">
            <w:pPr>
              <w:jc w:val="right"/>
              <w:rPr>
                <w:lang w:val="ru-RU" w:eastAsia="ru-RU"/>
              </w:rPr>
            </w:pPr>
            <w:r>
              <w:rPr>
                <w:lang w:val="ru-RU" w:eastAsia="ru-RU"/>
              </w:rPr>
              <w:t>352 348</w:t>
            </w:r>
          </w:p>
        </w:tc>
        <w:tc>
          <w:tcPr>
            <w:tcW w:w="1186" w:type="dxa"/>
          </w:tcPr>
          <w:p w:rsidR="00BF4AF6" w:rsidRPr="000453ED" w:rsidDel="003C1AEA" w:rsidRDefault="00BF4AF6" w:rsidP="00A1328E">
            <w:pPr>
              <w:jc w:val="right"/>
              <w:rPr>
                <w:lang w:val="ru-RU" w:eastAsia="ru-RU"/>
              </w:rPr>
            </w:pPr>
            <w:r w:rsidRPr="000453ED">
              <w:rPr>
                <w:lang w:val="ru-RU" w:eastAsia="ru-RU"/>
              </w:rPr>
              <w:t>64 097</w:t>
            </w:r>
          </w:p>
        </w:tc>
      </w:tr>
      <w:tr w:rsidR="00BF4AF6" w:rsidRPr="000453ED" w:rsidTr="003C1AEA">
        <w:trPr>
          <w:trHeight w:val="197"/>
        </w:trPr>
        <w:tc>
          <w:tcPr>
            <w:tcW w:w="673" w:type="dxa"/>
            <w:hideMark/>
          </w:tcPr>
          <w:p w:rsidR="00BF4AF6" w:rsidRPr="000453ED" w:rsidRDefault="00BF4AF6" w:rsidP="005A54C0">
            <w:pPr>
              <w:jc w:val="center"/>
              <w:rPr>
                <w:lang w:val="ru-RU" w:eastAsia="ru-RU"/>
              </w:rPr>
            </w:pPr>
            <w:r w:rsidRPr="000453ED">
              <w:rPr>
                <w:lang w:val="ru-RU" w:eastAsia="ru-RU"/>
              </w:rPr>
              <w:t>2.1</w:t>
            </w:r>
            <w:r>
              <w:rPr>
                <w:lang w:val="ru-RU" w:eastAsia="ru-RU"/>
              </w:rPr>
              <w:t>8</w:t>
            </w:r>
            <w:r w:rsidRPr="000453ED">
              <w:rPr>
                <w:lang w:val="ru-RU" w:eastAsia="ru-RU"/>
              </w:rPr>
              <w:t>.</w:t>
            </w:r>
          </w:p>
        </w:tc>
        <w:tc>
          <w:tcPr>
            <w:tcW w:w="6423" w:type="dxa"/>
            <w:hideMark/>
          </w:tcPr>
          <w:p w:rsidR="00BF4AF6" w:rsidRPr="00DE1400" w:rsidRDefault="00BF4AF6" w:rsidP="007C4502">
            <w:pPr>
              <w:shd w:val="clear" w:color="auto" w:fill="FFFFFF"/>
              <w:rPr>
                <w:lang w:val="en-US" w:eastAsia="ru-RU"/>
              </w:rPr>
            </w:pPr>
            <w:r w:rsidRPr="00DE1400">
              <w:rPr>
                <w:lang w:val="en-US" w:eastAsia="ru-RU"/>
              </w:rPr>
              <w:t xml:space="preserve">Reserve under write-down of tangible assets </w:t>
            </w:r>
          </w:p>
        </w:tc>
        <w:tc>
          <w:tcPr>
            <w:tcW w:w="1186" w:type="dxa"/>
          </w:tcPr>
          <w:p w:rsidR="00BF4AF6" w:rsidRPr="000453ED" w:rsidRDefault="00BF4AF6" w:rsidP="00A1328E">
            <w:pPr>
              <w:jc w:val="right"/>
              <w:rPr>
                <w:lang w:val="ru-RU" w:eastAsia="ru-RU"/>
              </w:rPr>
            </w:pPr>
            <w:r>
              <w:rPr>
                <w:lang w:val="ru-RU" w:eastAsia="ru-RU"/>
              </w:rPr>
              <w:t>16 182</w:t>
            </w:r>
          </w:p>
        </w:tc>
        <w:tc>
          <w:tcPr>
            <w:tcW w:w="1186" w:type="dxa"/>
          </w:tcPr>
          <w:p w:rsidR="00BF4AF6" w:rsidRPr="000453ED" w:rsidDel="003C1AEA" w:rsidRDefault="00BF4AF6" w:rsidP="00A1328E">
            <w:pPr>
              <w:jc w:val="right"/>
              <w:rPr>
                <w:lang w:val="ru-RU" w:eastAsia="ru-RU"/>
              </w:rPr>
            </w:pPr>
            <w:r w:rsidRPr="000453ED">
              <w:rPr>
                <w:lang w:val="ru-RU" w:eastAsia="ru-RU"/>
              </w:rPr>
              <w:t>5 724</w:t>
            </w:r>
          </w:p>
        </w:tc>
      </w:tr>
      <w:tr w:rsidR="00AE51F8" w:rsidRPr="00BA35C6" w:rsidTr="003C1AEA">
        <w:trPr>
          <w:trHeight w:val="242"/>
        </w:trPr>
        <w:tc>
          <w:tcPr>
            <w:tcW w:w="673" w:type="dxa"/>
          </w:tcPr>
          <w:p w:rsidR="00AE51F8" w:rsidRPr="000453ED" w:rsidRDefault="00210F8C" w:rsidP="005A54C0">
            <w:pPr>
              <w:jc w:val="center"/>
              <w:rPr>
                <w:lang w:val="ru-RU" w:eastAsia="ru-RU"/>
              </w:rPr>
            </w:pPr>
            <w:r>
              <w:rPr>
                <w:lang w:val="ru-RU" w:eastAsia="ru-RU"/>
              </w:rPr>
              <w:t>2.</w:t>
            </w:r>
            <w:r w:rsidR="00AB1873">
              <w:rPr>
                <w:lang w:val="ru-RU" w:eastAsia="ru-RU"/>
              </w:rPr>
              <w:t>19</w:t>
            </w:r>
            <w:r w:rsidR="00C60139">
              <w:rPr>
                <w:lang w:val="ru-RU" w:eastAsia="ru-RU"/>
              </w:rPr>
              <w:t>.</w:t>
            </w:r>
          </w:p>
        </w:tc>
        <w:tc>
          <w:tcPr>
            <w:tcW w:w="6423" w:type="dxa"/>
          </w:tcPr>
          <w:p w:rsidR="00AE51F8" w:rsidRPr="00BF4AF6" w:rsidRDefault="00BF4AF6" w:rsidP="00FC4250">
            <w:pPr>
              <w:rPr>
                <w:lang w:val="en-US" w:eastAsia="ru-RU"/>
              </w:rPr>
            </w:pPr>
            <w:r w:rsidRPr="00DE1400">
              <w:rPr>
                <w:lang w:val="en-US" w:eastAsia="ru-RU"/>
              </w:rPr>
              <w:t>Reserve</w:t>
            </w:r>
            <w:r w:rsidRPr="00BF4AF6">
              <w:rPr>
                <w:lang w:val="en-US" w:eastAsia="ru-RU"/>
              </w:rPr>
              <w:t xml:space="preserve"> </w:t>
            </w:r>
            <w:r w:rsidRPr="00DE1400">
              <w:rPr>
                <w:lang w:val="en-US" w:eastAsia="ru-RU"/>
              </w:rPr>
              <w:t>under</w:t>
            </w:r>
            <w:r w:rsidRPr="00BF4AF6">
              <w:rPr>
                <w:lang w:val="en-US" w:eastAsia="ru-RU"/>
              </w:rPr>
              <w:t xml:space="preserve"> </w:t>
            </w:r>
            <w:r w:rsidRPr="00DE1400">
              <w:rPr>
                <w:lang w:val="en-US" w:eastAsia="ru-RU"/>
              </w:rPr>
              <w:t>write</w:t>
            </w:r>
            <w:r w:rsidRPr="00BF4AF6">
              <w:rPr>
                <w:lang w:val="en-US" w:eastAsia="ru-RU"/>
              </w:rPr>
              <w:t>-</w:t>
            </w:r>
            <w:r w:rsidRPr="00DE1400">
              <w:rPr>
                <w:lang w:val="en-US" w:eastAsia="ru-RU"/>
              </w:rPr>
              <w:t>down</w:t>
            </w:r>
            <w:r w:rsidRPr="00BF4AF6">
              <w:rPr>
                <w:lang w:val="en-US" w:eastAsia="ru-RU"/>
              </w:rPr>
              <w:t xml:space="preserve"> </w:t>
            </w:r>
            <w:r>
              <w:rPr>
                <w:lang w:val="en-US" w:eastAsia="ru-RU"/>
              </w:rPr>
              <w:t>of</w:t>
            </w:r>
            <w:r w:rsidRPr="00BF4AF6">
              <w:rPr>
                <w:lang w:val="en-US" w:eastAsia="ru-RU"/>
              </w:rPr>
              <w:t xml:space="preserve"> </w:t>
            </w:r>
            <w:r>
              <w:rPr>
                <w:lang w:val="en-US" w:eastAsia="ru-RU"/>
              </w:rPr>
              <w:t xml:space="preserve">financial </w:t>
            </w:r>
            <w:r w:rsidRPr="00BF4AF6">
              <w:rPr>
                <w:lang w:val="en-US" w:eastAsia="ru-RU"/>
              </w:rPr>
              <w:t>investments</w:t>
            </w:r>
          </w:p>
        </w:tc>
        <w:tc>
          <w:tcPr>
            <w:tcW w:w="1186" w:type="dxa"/>
          </w:tcPr>
          <w:p w:rsidR="00AE51F8" w:rsidRDefault="00AE51F8" w:rsidP="00A1328E">
            <w:pPr>
              <w:jc w:val="right"/>
              <w:rPr>
                <w:lang w:val="ru-RU" w:eastAsia="ru-RU"/>
              </w:rPr>
            </w:pPr>
            <w:r>
              <w:rPr>
                <w:lang w:val="ru-RU" w:eastAsia="ru-RU"/>
              </w:rPr>
              <w:t>161 600</w:t>
            </w:r>
          </w:p>
        </w:tc>
        <w:tc>
          <w:tcPr>
            <w:tcW w:w="1186" w:type="dxa"/>
          </w:tcPr>
          <w:p w:rsidR="00AE51F8" w:rsidRPr="000453ED" w:rsidRDefault="00EA15E7" w:rsidP="00A1328E">
            <w:pPr>
              <w:jc w:val="right"/>
              <w:rPr>
                <w:lang w:val="ru-RU" w:eastAsia="ru-RU"/>
              </w:rPr>
            </w:pPr>
            <w:r>
              <w:rPr>
                <w:lang w:val="ru-RU" w:eastAsia="ru-RU"/>
              </w:rPr>
              <w:t>-</w:t>
            </w:r>
          </w:p>
        </w:tc>
      </w:tr>
      <w:tr w:rsidR="00F4277B" w:rsidRPr="00BA35C6" w:rsidTr="003C1AEA">
        <w:trPr>
          <w:trHeight w:val="242"/>
        </w:trPr>
        <w:tc>
          <w:tcPr>
            <w:tcW w:w="673" w:type="dxa"/>
          </w:tcPr>
          <w:p w:rsidR="00F4277B" w:rsidRPr="000453ED" w:rsidRDefault="00210F8C" w:rsidP="005A54C0">
            <w:pPr>
              <w:jc w:val="center"/>
              <w:rPr>
                <w:lang w:val="ru-RU" w:eastAsia="ru-RU"/>
              </w:rPr>
            </w:pPr>
            <w:r>
              <w:rPr>
                <w:lang w:val="ru-RU" w:eastAsia="ru-RU"/>
              </w:rPr>
              <w:t>2.2</w:t>
            </w:r>
            <w:r w:rsidR="00AB1873">
              <w:rPr>
                <w:lang w:val="ru-RU" w:eastAsia="ru-RU"/>
              </w:rPr>
              <w:t>0</w:t>
            </w:r>
            <w:r w:rsidR="00C60139">
              <w:rPr>
                <w:lang w:val="ru-RU" w:eastAsia="ru-RU"/>
              </w:rPr>
              <w:t>.</w:t>
            </w:r>
          </w:p>
        </w:tc>
        <w:tc>
          <w:tcPr>
            <w:tcW w:w="6423" w:type="dxa"/>
          </w:tcPr>
          <w:p w:rsidR="00F4277B" w:rsidRPr="00BF4AF6" w:rsidRDefault="00BF4AF6" w:rsidP="00BF4AF6">
            <w:pPr>
              <w:rPr>
                <w:lang w:val="en-US" w:eastAsia="ru-RU"/>
              </w:rPr>
            </w:pPr>
            <w:r>
              <w:rPr>
                <w:lang w:val="en-US" w:eastAsia="ru-RU"/>
              </w:rPr>
              <w:t>D</w:t>
            </w:r>
            <w:r w:rsidRPr="00BF4AF6">
              <w:rPr>
                <w:lang w:val="en-US" w:eastAsia="ru-RU"/>
              </w:rPr>
              <w:t>isposal of assets</w:t>
            </w:r>
            <w:r w:rsidR="00F4277B" w:rsidRPr="00BF4AF6">
              <w:rPr>
                <w:lang w:val="en-US" w:eastAsia="ru-RU"/>
              </w:rPr>
              <w:t xml:space="preserve"> </w:t>
            </w:r>
            <w:r>
              <w:rPr>
                <w:lang w:val="en-US" w:eastAsia="ru-RU"/>
              </w:rPr>
              <w:t xml:space="preserve">without income </w:t>
            </w:r>
          </w:p>
        </w:tc>
        <w:tc>
          <w:tcPr>
            <w:tcW w:w="1186" w:type="dxa"/>
          </w:tcPr>
          <w:p w:rsidR="00F4277B" w:rsidRDefault="00F4277B" w:rsidP="00A1328E">
            <w:pPr>
              <w:jc w:val="right"/>
              <w:rPr>
                <w:lang w:val="ru-RU" w:eastAsia="ru-RU"/>
              </w:rPr>
            </w:pPr>
            <w:r>
              <w:rPr>
                <w:lang w:val="ru-RU" w:eastAsia="ru-RU"/>
              </w:rPr>
              <w:t>182 314</w:t>
            </w:r>
          </w:p>
        </w:tc>
        <w:tc>
          <w:tcPr>
            <w:tcW w:w="1186" w:type="dxa"/>
          </w:tcPr>
          <w:p w:rsidR="00F4277B" w:rsidRPr="000453ED" w:rsidRDefault="00EA15E7" w:rsidP="00A1328E">
            <w:pPr>
              <w:jc w:val="right"/>
              <w:rPr>
                <w:lang w:val="ru-RU" w:eastAsia="ru-RU"/>
              </w:rPr>
            </w:pPr>
            <w:r>
              <w:rPr>
                <w:lang w:val="ru-RU" w:eastAsia="ru-RU"/>
              </w:rPr>
              <w:t>-</w:t>
            </w:r>
          </w:p>
        </w:tc>
      </w:tr>
      <w:tr w:rsidR="00BF4AF6" w:rsidRPr="000453ED" w:rsidTr="003C1AEA">
        <w:trPr>
          <w:trHeight w:val="242"/>
        </w:trPr>
        <w:tc>
          <w:tcPr>
            <w:tcW w:w="673" w:type="dxa"/>
            <w:hideMark/>
          </w:tcPr>
          <w:p w:rsidR="00BF4AF6" w:rsidRPr="000453ED" w:rsidRDefault="00BF4AF6" w:rsidP="005A54C0">
            <w:pPr>
              <w:jc w:val="center"/>
              <w:rPr>
                <w:lang w:val="ru-RU" w:eastAsia="ru-RU"/>
              </w:rPr>
            </w:pPr>
            <w:r w:rsidRPr="000453ED">
              <w:rPr>
                <w:lang w:val="ru-RU" w:eastAsia="ru-RU"/>
              </w:rPr>
              <w:t>2.2</w:t>
            </w:r>
            <w:r>
              <w:rPr>
                <w:lang w:val="ru-RU" w:eastAsia="ru-RU"/>
              </w:rPr>
              <w:t>1</w:t>
            </w:r>
            <w:r w:rsidRPr="000453ED">
              <w:rPr>
                <w:lang w:val="ru-RU" w:eastAsia="ru-RU"/>
              </w:rPr>
              <w:t>.</w:t>
            </w:r>
          </w:p>
        </w:tc>
        <w:tc>
          <w:tcPr>
            <w:tcW w:w="6423" w:type="dxa"/>
            <w:hideMark/>
          </w:tcPr>
          <w:p w:rsidR="00BF4AF6" w:rsidRPr="00836721" w:rsidRDefault="00BF4AF6" w:rsidP="007C4502">
            <w:pPr>
              <w:rPr>
                <w:lang w:val="ru-RU" w:eastAsia="ru-RU"/>
              </w:rPr>
            </w:pPr>
            <w:proofErr w:type="spellStart"/>
            <w:r w:rsidRPr="00A83FA4">
              <w:rPr>
                <w:lang w:val="ru-RU" w:eastAsia="ru-RU"/>
              </w:rPr>
              <w:t>Other</w:t>
            </w:r>
            <w:proofErr w:type="spellEnd"/>
          </w:p>
        </w:tc>
        <w:tc>
          <w:tcPr>
            <w:tcW w:w="1186" w:type="dxa"/>
          </w:tcPr>
          <w:p w:rsidR="00BF4AF6" w:rsidRPr="000453ED" w:rsidRDefault="00BF4AF6" w:rsidP="001F63B8">
            <w:pPr>
              <w:jc w:val="right"/>
              <w:rPr>
                <w:lang w:val="ru-RU" w:eastAsia="ru-RU"/>
              </w:rPr>
            </w:pPr>
            <w:r>
              <w:rPr>
                <w:lang w:val="ru-RU" w:eastAsia="ru-RU"/>
              </w:rPr>
              <w:t>610 860</w:t>
            </w:r>
          </w:p>
        </w:tc>
        <w:tc>
          <w:tcPr>
            <w:tcW w:w="1186" w:type="dxa"/>
          </w:tcPr>
          <w:p w:rsidR="00BF4AF6" w:rsidRPr="000453ED" w:rsidDel="003C1AEA" w:rsidRDefault="00BF4AF6" w:rsidP="00A1328E">
            <w:pPr>
              <w:jc w:val="right"/>
              <w:rPr>
                <w:lang w:val="ru-RU" w:eastAsia="ru-RU"/>
              </w:rPr>
            </w:pPr>
            <w:r>
              <w:rPr>
                <w:lang w:val="ru-RU" w:eastAsia="ru-RU"/>
              </w:rPr>
              <w:t>660 481</w:t>
            </w:r>
          </w:p>
        </w:tc>
      </w:tr>
      <w:tr w:rsidR="00BF4AF6" w:rsidRPr="000453ED" w:rsidTr="003C1AEA">
        <w:trPr>
          <w:trHeight w:val="230"/>
        </w:trPr>
        <w:tc>
          <w:tcPr>
            <w:tcW w:w="673" w:type="dxa"/>
            <w:hideMark/>
          </w:tcPr>
          <w:p w:rsidR="00BF4AF6" w:rsidRPr="000453ED" w:rsidRDefault="00BF4AF6" w:rsidP="005A54C0">
            <w:pPr>
              <w:jc w:val="center"/>
              <w:rPr>
                <w:lang w:val="ru-RU" w:eastAsia="ru-RU"/>
              </w:rPr>
            </w:pPr>
            <w:r w:rsidRPr="000453ED">
              <w:rPr>
                <w:lang w:val="ru-RU" w:eastAsia="ru-RU"/>
              </w:rPr>
              <w:t>3.</w:t>
            </w:r>
          </w:p>
        </w:tc>
        <w:tc>
          <w:tcPr>
            <w:tcW w:w="6423" w:type="dxa"/>
            <w:hideMark/>
          </w:tcPr>
          <w:p w:rsidR="00BF4AF6" w:rsidRPr="00836721" w:rsidRDefault="00BF4AF6" w:rsidP="007C4502">
            <w:pPr>
              <w:rPr>
                <w:b/>
                <w:i/>
                <w:lang w:val="ru-RU" w:eastAsia="ru-RU"/>
              </w:rPr>
            </w:pPr>
            <w:proofErr w:type="spellStart"/>
            <w:r w:rsidRPr="00F62D88">
              <w:rPr>
                <w:b/>
                <w:i/>
                <w:lang w:val="ru-RU" w:eastAsia="ru-RU"/>
              </w:rPr>
              <w:t>Deductible</w:t>
            </w:r>
            <w:proofErr w:type="spellEnd"/>
            <w:r w:rsidRPr="00F62D88">
              <w:rPr>
                <w:b/>
                <w:i/>
                <w:lang w:val="ru-RU" w:eastAsia="ru-RU"/>
              </w:rPr>
              <w:t xml:space="preserve"> </w:t>
            </w:r>
            <w:proofErr w:type="spellStart"/>
            <w:r w:rsidRPr="00F62D88">
              <w:rPr>
                <w:b/>
                <w:i/>
                <w:lang w:val="ru-RU" w:eastAsia="ru-RU"/>
              </w:rPr>
              <w:t>temporary</w:t>
            </w:r>
            <w:proofErr w:type="spellEnd"/>
            <w:r w:rsidRPr="00F62D88">
              <w:rPr>
                <w:b/>
                <w:i/>
                <w:lang w:val="ru-RU" w:eastAsia="ru-RU"/>
              </w:rPr>
              <w:t xml:space="preserve"> </w:t>
            </w:r>
            <w:proofErr w:type="spellStart"/>
            <w:r w:rsidRPr="00F62D88">
              <w:rPr>
                <w:b/>
                <w:i/>
                <w:lang w:val="ru-RU" w:eastAsia="ru-RU"/>
              </w:rPr>
              <w:t>differences</w:t>
            </w:r>
            <w:proofErr w:type="spellEnd"/>
          </w:p>
        </w:tc>
        <w:tc>
          <w:tcPr>
            <w:tcW w:w="1186" w:type="dxa"/>
          </w:tcPr>
          <w:p w:rsidR="00BF4AF6" w:rsidRPr="000453ED" w:rsidRDefault="00BF4AF6" w:rsidP="00F43B64">
            <w:pPr>
              <w:jc w:val="right"/>
              <w:rPr>
                <w:lang w:val="ru-RU" w:eastAsia="ru-RU"/>
              </w:rPr>
            </w:pPr>
            <w:r>
              <w:rPr>
                <w:lang w:val="ru-RU" w:eastAsia="ru-RU"/>
              </w:rPr>
              <w:t>427 985</w:t>
            </w:r>
          </w:p>
        </w:tc>
        <w:tc>
          <w:tcPr>
            <w:tcW w:w="1186" w:type="dxa"/>
          </w:tcPr>
          <w:p w:rsidR="00BF4AF6" w:rsidRPr="000453ED" w:rsidDel="003C1AEA" w:rsidRDefault="00BF4AF6" w:rsidP="00A1328E">
            <w:pPr>
              <w:jc w:val="right"/>
              <w:rPr>
                <w:lang w:val="ru-RU" w:eastAsia="ru-RU"/>
              </w:rPr>
            </w:pPr>
            <w:r w:rsidRPr="000453ED">
              <w:rPr>
                <w:lang w:val="ru-RU" w:eastAsia="ru-RU"/>
              </w:rPr>
              <w:t>38 675</w:t>
            </w:r>
          </w:p>
        </w:tc>
      </w:tr>
      <w:tr w:rsidR="00F304B9" w:rsidRPr="000453ED" w:rsidTr="002644C5">
        <w:trPr>
          <w:trHeight w:val="540"/>
        </w:trPr>
        <w:tc>
          <w:tcPr>
            <w:tcW w:w="673" w:type="dxa"/>
            <w:hideMark/>
          </w:tcPr>
          <w:p w:rsidR="00F304B9" w:rsidRPr="000453ED" w:rsidRDefault="00F304B9" w:rsidP="005A54C0">
            <w:pPr>
              <w:jc w:val="center"/>
              <w:rPr>
                <w:lang w:val="ru-RU" w:eastAsia="ru-RU"/>
              </w:rPr>
            </w:pPr>
            <w:r w:rsidRPr="000453ED">
              <w:rPr>
                <w:lang w:val="ru-RU" w:eastAsia="ru-RU"/>
              </w:rPr>
              <w:t>3.1.</w:t>
            </w:r>
          </w:p>
        </w:tc>
        <w:tc>
          <w:tcPr>
            <w:tcW w:w="6423" w:type="dxa"/>
            <w:hideMark/>
          </w:tcPr>
          <w:p w:rsidR="00F304B9" w:rsidRPr="00BF4AF6" w:rsidRDefault="00BF4AF6" w:rsidP="00BF4AF6">
            <w:pPr>
              <w:rPr>
                <w:lang w:val="en-US" w:eastAsia="ru-RU"/>
              </w:rPr>
            </w:pPr>
            <w:r w:rsidRPr="00DE1400">
              <w:rPr>
                <w:lang w:val="en-US" w:eastAsia="ru-RU"/>
              </w:rPr>
              <w:t>Fixed</w:t>
            </w:r>
            <w:r w:rsidRPr="00BF4AF6">
              <w:rPr>
                <w:lang w:val="en-US" w:eastAsia="ru-RU"/>
              </w:rPr>
              <w:t xml:space="preserve"> </w:t>
            </w:r>
            <w:r w:rsidRPr="00DE1400">
              <w:rPr>
                <w:lang w:val="en-US" w:eastAsia="ru-RU"/>
              </w:rPr>
              <w:t>Assets</w:t>
            </w:r>
            <w:r w:rsidRPr="00BF4AF6">
              <w:rPr>
                <w:lang w:val="en-US" w:eastAsia="ru-RU"/>
              </w:rPr>
              <w:t xml:space="preserve"> </w:t>
            </w:r>
            <w:r w:rsidRPr="00DE1400">
              <w:rPr>
                <w:lang w:val="en-US" w:eastAsia="ru-RU"/>
              </w:rPr>
              <w:t>depreciation</w:t>
            </w:r>
            <w:r w:rsidRPr="00BF4AF6">
              <w:rPr>
                <w:lang w:val="en-US" w:eastAsia="ru-RU"/>
              </w:rPr>
              <w:t xml:space="preserve"> (</w:t>
            </w:r>
            <w:r w:rsidRPr="00DE1400">
              <w:rPr>
                <w:lang w:val="en-US" w:eastAsia="ru-RU"/>
              </w:rPr>
              <w:t>the</w:t>
            </w:r>
            <w:r w:rsidRPr="00BF4AF6">
              <w:rPr>
                <w:lang w:val="en-US" w:eastAsia="ru-RU"/>
              </w:rPr>
              <w:t xml:space="preserve"> </w:t>
            </w:r>
            <w:r w:rsidRPr="00DE1400">
              <w:rPr>
                <w:lang w:val="en-US" w:eastAsia="ru-RU"/>
              </w:rPr>
              <w:t>amount</w:t>
            </w:r>
            <w:r w:rsidRPr="00BF4AF6">
              <w:rPr>
                <w:lang w:val="en-US" w:eastAsia="ru-RU"/>
              </w:rPr>
              <w:t xml:space="preserve"> </w:t>
            </w:r>
            <w:r w:rsidRPr="00DE1400">
              <w:rPr>
                <w:lang w:val="en-US" w:eastAsia="ru-RU"/>
              </w:rPr>
              <w:t>of</w:t>
            </w:r>
            <w:r w:rsidRPr="00BF4AF6">
              <w:rPr>
                <w:lang w:val="en-US" w:eastAsia="ru-RU"/>
              </w:rPr>
              <w:t xml:space="preserve"> </w:t>
            </w:r>
            <w:r w:rsidRPr="00DE1400">
              <w:rPr>
                <w:lang w:val="en-US" w:eastAsia="ru-RU"/>
              </w:rPr>
              <w:t>depreciation</w:t>
            </w:r>
            <w:r w:rsidRPr="00BF4AF6">
              <w:rPr>
                <w:lang w:val="en-US" w:eastAsia="ru-RU"/>
              </w:rPr>
              <w:t xml:space="preserve"> </w:t>
            </w:r>
            <w:r w:rsidRPr="00DE1400">
              <w:rPr>
                <w:lang w:val="en-US" w:eastAsia="ru-RU"/>
              </w:rPr>
              <w:t>for</w:t>
            </w:r>
            <w:r w:rsidRPr="00BF4AF6">
              <w:rPr>
                <w:lang w:val="en-US" w:eastAsia="ru-RU"/>
              </w:rPr>
              <w:t xml:space="preserve"> </w:t>
            </w:r>
            <w:r w:rsidRPr="00DE1400">
              <w:rPr>
                <w:lang w:val="en-US" w:eastAsia="ru-RU"/>
              </w:rPr>
              <w:t>tax</w:t>
            </w:r>
            <w:r w:rsidRPr="00BF4AF6">
              <w:rPr>
                <w:lang w:val="en-US" w:eastAsia="ru-RU"/>
              </w:rPr>
              <w:t xml:space="preserve"> </w:t>
            </w:r>
            <w:r w:rsidRPr="00DE1400">
              <w:rPr>
                <w:lang w:val="en-US" w:eastAsia="ru-RU"/>
              </w:rPr>
              <w:t>accounting</w:t>
            </w:r>
            <w:r w:rsidRPr="00BF4AF6">
              <w:rPr>
                <w:lang w:val="en-US" w:eastAsia="ru-RU"/>
              </w:rPr>
              <w:t xml:space="preserve"> </w:t>
            </w:r>
            <w:r w:rsidRPr="00DE1400">
              <w:rPr>
                <w:lang w:val="en-US" w:eastAsia="ru-RU"/>
              </w:rPr>
              <w:t>is</w:t>
            </w:r>
            <w:r w:rsidRPr="00BF4AF6">
              <w:rPr>
                <w:lang w:val="en-US" w:eastAsia="ru-RU"/>
              </w:rPr>
              <w:t xml:space="preserve"> </w:t>
            </w:r>
            <w:r w:rsidRPr="00DE1400">
              <w:rPr>
                <w:lang w:val="en-US" w:eastAsia="ru-RU"/>
              </w:rPr>
              <w:t>less</w:t>
            </w:r>
            <w:r w:rsidRPr="00BF4AF6">
              <w:rPr>
                <w:lang w:val="en-US" w:eastAsia="ru-RU"/>
              </w:rPr>
              <w:t xml:space="preserve"> </w:t>
            </w:r>
            <w:r w:rsidRPr="00DE1400">
              <w:rPr>
                <w:lang w:val="en-US" w:eastAsia="ru-RU"/>
              </w:rPr>
              <w:t>than</w:t>
            </w:r>
            <w:r w:rsidRPr="00BF4AF6">
              <w:rPr>
                <w:lang w:val="en-US" w:eastAsia="ru-RU"/>
              </w:rPr>
              <w:t xml:space="preserve"> </w:t>
            </w:r>
            <w:r w:rsidRPr="00DE1400">
              <w:rPr>
                <w:lang w:val="en-US" w:eastAsia="ru-RU"/>
              </w:rPr>
              <w:t>the</w:t>
            </w:r>
            <w:r w:rsidRPr="00BF4AF6">
              <w:rPr>
                <w:lang w:val="en-US" w:eastAsia="ru-RU"/>
              </w:rPr>
              <w:t xml:space="preserve"> </w:t>
            </w:r>
            <w:r w:rsidRPr="00DE1400">
              <w:rPr>
                <w:lang w:val="en-US" w:eastAsia="ru-RU"/>
              </w:rPr>
              <w:t>sum</w:t>
            </w:r>
            <w:r w:rsidRPr="00BF4AF6">
              <w:rPr>
                <w:lang w:val="en-US" w:eastAsia="ru-RU"/>
              </w:rPr>
              <w:t xml:space="preserve"> </w:t>
            </w:r>
            <w:r w:rsidRPr="00DE1400">
              <w:rPr>
                <w:lang w:val="en-US" w:eastAsia="ru-RU"/>
              </w:rPr>
              <w:t>of</w:t>
            </w:r>
            <w:r w:rsidRPr="00BF4AF6">
              <w:rPr>
                <w:lang w:val="en-US" w:eastAsia="ru-RU"/>
              </w:rPr>
              <w:t xml:space="preserve"> </w:t>
            </w:r>
            <w:r w:rsidRPr="00DE1400">
              <w:rPr>
                <w:lang w:val="en-US" w:eastAsia="ru-RU"/>
              </w:rPr>
              <w:t>depreciation</w:t>
            </w:r>
            <w:r w:rsidRPr="00BF4AF6">
              <w:rPr>
                <w:lang w:val="en-US" w:eastAsia="ru-RU"/>
              </w:rPr>
              <w:t xml:space="preserve"> </w:t>
            </w:r>
            <w:r w:rsidRPr="00DE1400">
              <w:rPr>
                <w:lang w:val="en-US" w:eastAsia="ru-RU"/>
              </w:rPr>
              <w:t>for</w:t>
            </w:r>
            <w:r w:rsidRPr="00BF4AF6">
              <w:rPr>
                <w:lang w:val="en-US" w:eastAsia="ru-RU"/>
              </w:rPr>
              <w:t xml:space="preserve"> </w:t>
            </w:r>
            <w:r w:rsidRPr="00DE1400">
              <w:rPr>
                <w:lang w:val="en-US" w:eastAsia="ru-RU"/>
              </w:rPr>
              <w:t>business</w:t>
            </w:r>
            <w:r w:rsidRPr="00BF4AF6">
              <w:rPr>
                <w:lang w:val="en-US" w:eastAsia="ru-RU"/>
              </w:rPr>
              <w:t xml:space="preserve"> </w:t>
            </w:r>
            <w:r w:rsidRPr="00DE1400">
              <w:rPr>
                <w:lang w:val="en-US" w:eastAsia="ru-RU"/>
              </w:rPr>
              <w:t>accounting</w:t>
            </w:r>
            <w:r w:rsidR="00F304B9" w:rsidRPr="00BF4AF6">
              <w:rPr>
                <w:lang w:val="en-US" w:eastAsia="ru-RU"/>
              </w:rPr>
              <w:t>)</w:t>
            </w:r>
          </w:p>
        </w:tc>
        <w:tc>
          <w:tcPr>
            <w:tcW w:w="1186" w:type="dxa"/>
          </w:tcPr>
          <w:p w:rsidR="00F304B9" w:rsidRPr="000453ED" w:rsidRDefault="00F304B9" w:rsidP="00522497">
            <w:pPr>
              <w:jc w:val="right"/>
              <w:rPr>
                <w:lang w:val="ru-RU" w:eastAsia="ru-RU"/>
              </w:rPr>
            </w:pPr>
            <w:r>
              <w:rPr>
                <w:lang w:val="ru-RU" w:eastAsia="ru-RU"/>
              </w:rPr>
              <w:t>135 540</w:t>
            </w:r>
          </w:p>
        </w:tc>
        <w:tc>
          <w:tcPr>
            <w:tcW w:w="1186" w:type="dxa"/>
          </w:tcPr>
          <w:p w:rsidR="00F304B9" w:rsidRPr="000453ED" w:rsidDel="003C1AEA" w:rsidRDefault="00F304B9" w:rsidP="00A1328E">
            <w:pPr>
              <w:jc w:val="right"/>
              <w:rPr>
                <w:lang w:val="ru-RU" w:eastAsia="ru-RU"/>
              </w:rPr>
            </w:pPr>
            <w:r w:rsidRPr="000453ED">
              <w:rPr>
                <w:lang w:val="ru-RU" w:eastAsia="ru-RU"/>
              </w:rPr>
              <w:t>113 756</w:t>
            </w:r>
          </w:p>
        </w:tc>
      </w:tr>
      <w:tr w:rsidR="003C1AEA" w:rsidRPr="000453ED" w:rsidTr="003C1AEA">
        <w:trPr>
          <w:trHeight w:val="233"/>
        </w:trPr>
        <w:tc>
          <w:tcPr>
            <w:tcW w:w="673" w:type="dxa"/>
            <w:hideMark/>
          </w:tcPr>
          <w:p w:rsidR="003C1AEA" w:rsidRPr="000453ED" w:rsidRDefault="003C1AEA" w:rsidP="005A54C0">
            <w:pPr>
              <w:jc w:val="center"/>
              <w:rPr>
                <w:lang w:val="ru-RU" w:eastAsia="ru-RU"/>
              </w:rPr>
            </w:pPr>
            <w:r w:rsidRPr="000453ED">
              <w:rPr>
                <w:lang w:val="ru-RU" w:eastAsia="ru-RU"/>
              </w:rPr>
              <w:t>3.2.</w:t>
            </w:r>
          </w:p>
        </w:tc>
        <w:tc>
          <w:tcPr>
            <w:tcW w:w="6423" w:type="dxa"/>
            <w:hideMark/>
          </w:tcPr>
          <w:p w:rsidR="003C1AEA" w:rsidRPr="004A5B4B" w:rsidRDefault="004A5B4B" w:rsidP="004A5B4B">
            <w:pPr>
              <w:rPr>
                <w:lang w:val="en-US" w:eastAsia="ru-RU"/>
              </w:rPr>
            </w:pPr>
            <w:r w:rsidRPr="004A5B4B">
              <w:rPr>
                <w:lang w:val="en-US" w:eastAsia="ru-RU"/>
              </w:rPr>
              <w:t xml:space="preserve">Provision for payment of annual </w:t>
            </w:r>
            <w:r>
              <w:rPr>
                <w:lang w:val="en-US" w:eastAsia="ru-RU"/>
              </w:rPr>
              <w:t>compensation</w:t>
            </w:r>
            <w:r w:rsidRPr="004A5B4B">
              <w:rPr>
                <w:lang w:val="en-US" w:eastAsia="ru-RU"/>
              </w:rPr>
              <w:t xml:space="preserve"> and annual leave </w:t>
            </w:r>
          </w:p>
        </w:tc>
        <w:tc>
          <w:tcPr>
            <w:tcW w:w="1186" w:type="dxa"/>
          </w:tcPr>
          <w:p w:rsidR="003C1AEA" w:rsidRPr="000453ED" w:rsidRDefault="000453ED" w:rsidP="00A1328E">
            <w:pPr>
              <w:jc w:val="right"/>
              <w:rPr>
                <w:lang w:val="ru-RU" w:eastAsia="ru-RU"/>
              </w:rPr>
            </w:pPr>
            <w:r>
              <w:rPr>
                <w:lang w:val="ru-RU" w:eastAsia="ru-RU"/>
              </w:rPr>
              <w:t>(139 598)</w:t>
            </w:r>
          </w:p>
        </w:tc>
        <w:tc>
          <w:tcPr>
            <w:tcW w:w="1186" w:type="dxa"/>
          </w:tcPr>
          <w:p w:rsidR="003C1AEA" w:rsidRPr="000453ED" w:rsidDel="003C1AEA" w:rsidRDefault="003C1AEA" w:rsidP="00A1328E">
            <w:pPr>
              <w:jc w:val="right"/>
              <w:rPr>
                <w:lang w:val="ru-RU" w:eastAsia="ru-RU"/>
              </w:rPr>
            </w:pPr>
            <w:r w:rsidRPr="000453ED">
              <w:rPr>
                <w:lang w:val="ru-RU" w:eastAsia="ru-RU"/>
              </w:rPr>
              <w:t>72 858</w:t>
            </w:r>
          </w:p>
        </w:tc>
      </w:tr>
      <w:tr w:rsidR="003C1AEA" w:rsidRPr="000453ED" w:rsidTr="003C1AEA">
        <w:trPr>
          <w:trHeight w:val="224"/>
        </w:trPr>
        <w:tc>
          <w:tcPr>
            <w:tcW w:w="673" w:type="dxa"/>
            <w:hideMark/>
          </w:tcPr>
          <w:p w:rsidR="003C1AEA" w:rsidRPr="000453ED" w:rsidRDefault="003C1AEA" w:rsidP="005A54C0">
            <w:pPr>
              <w:jc w:val="center"/>
              <w:rPr>
                <w:lang w:val="ru-RU" w:eastAsia="ru-RU"/>
              </w:rPr>
            </w:pPr>
            <w:r w:rsidRPr="000453ED">
              <w:rPr>
                <w:lang w:val="ru-RU" w:eastAsia="ru-RU"/>
              </w:rPr>
              <w:t>3.3.</w:t>
            </w:r>
          </w:p>
        </w:tc>
        <w:tc>
          <w:tcPr>
            <w:tcW w:w="6423" w:type="dxa"/>
            <w:hideMark/>
          </w:tcPr>
          <w:p w:rsidR="003C1AEA" w:rsidRPr="000453ED" w:rsidRDefault="00BF4AF6" w:rsidP="006E1A41">
            <w:pPr>
              <w:rPr>
                <w:lang w:val="ru-RU" w:eastAsia="ru-RU"/>
              </w:rPr>
            </w:pPr>
            <w:proofErr w:type="spellStart"/>
            <w:r w:rsidRPr="00F62D88">
              <w:rPr>
                <w:lang w:val="ru-RU" w:eastAsia="ru-RU"/>
              </w:rPr>
              <w:t>Contingencies</w:t>
            </w:r>
            <w:proofErr w:type="spellEnd"/>
          </w:p>
        </w:tc>
        <w:tc>
          <w:tcPr>
            <w:tcW w:w="1186" w:type="dxa"/>
          </w:tcPr>
          <w:p w:rsidR="003C1AEA" w:rsidRPr="000453ED" w:rsidRDefault="000453ED" w:rsidP="00A1328E">
            <w:pPr>
              <w:jc w:val="right"/>
              <w:rPr>
                <w:lang w:val="ru-RU" w:eastAsia="ru-RU"/>
              </w:rPr>
            </w:pPr>
            <w:r>
              <w:rPr>
                <w:lang w:val="ru-RU" w:eastAsia="ru-RU"/>
              </w:rPr>
              <w:t>472 245</w:t>
            </w:r>
          </w:p>
        </w:tc>
        <w:tc>
          <w:tcPr>
            <w:tcW w:w="1186" w:type="dxa"/>
          </w:tcPr>
          <w:p w:rsidR="003C1AEA" w:rsidRPr="000453ED" w:rsidDel="003C1AEA" w:rsidRDefault="003C1AEA" w:rsidP="00A1328E">
            <w:pPr>
              <w:jc w:val="right"/>
              <w:rPr>
                <w:lang w:val="ru-RU" w:eastAsia="ru-RU"/>
              </w:rPr>
            </w:pPr>
            <w:r w:rsidRPr="000453ED">
              <w:rPr>
                <w:lang w:val="ru-RU" w:eastAsia="ru-RU"/>
              </w:rPr>
              <w:t>(168 934)</w:t>
            </w:r>
          </w:p>
        </w:tc>
      </w:tr>
      <w:tr w:rsidR="00BF4AF6" w:rsidRPr="000453ED" w:rsidTr="003C1AEA">
        <w:trPr>
          <w:trHeight w:val="278"/>
        </w:trPr>
        <w:tc>
          <w:tcPr>
            <w:tcW w:w="673" w:type="dxa"/>
            <w:hideMark/>
          </w:tcPr>
          <w:p w:rsidR="00BF4AF6" w:rsidRPr="000453ED" w:rsidRDefault="00BF4AF6" w:rsidP="005A54C0">
            <w:pPr>
              <w:jc w:val="center"/>
              <w:rPr>
                <w:lang w:val="ru-RU" w:eastAsia="ru-RU"/>
              </w:rPr>
            </w:pPr>
            <w:r w:rsidRPr="000453ED">
              <w:rPr>
                <w:lang w:val="ru-RU" w:eastAsia="ru-RU"/>
              </w:rPr>
              <w:t>3.</w:t>
            </w:r>
            <w:r>
              <w:rPr>
                <w:lang w:val="en-US" w:eastAsia="ru-RU"/>
              </w:rPr>
              <w:t>4</w:t>
            </w:r>
            <w:r w:rsidRPr="000453ED">
              <w:rPr>
                <w:lang w:val="ru-RU" w:eastAsia="ru-RU"/>
              </w:rPr>
              <w:t>.</w:t>
            </w:r>
          </w:p>
        </w:tc>
        <w:tc>
          <w:tcPr>
            <w:tcW w:w="6423" w:type="dxa"/>
            <w:hideMark/>
          </w:tcPr>
          <w:p w:rsidR="00BF4AF6" w:rsidRPr="00836721" w:rsidRDefault="00BF4AF6" w:rsidP="007C4502">
            <w:pPr>
              <w:rPr>
                <w:lang w:val="ru-RU" w:eastAsia="ru-RU"/>
              </w:rPr>
            </w:pPr>
            <w:proofErr w:type="spellStart"/>
            <w:r>
              <w:rPr>
                <w:lang w:val="ru-RU" w:eastAsia="ru-RU"/>
              </w:rPr>
              <w:t>Other</w:t>
            </w:r>
            <w:proofErr w:type="spellEnd"/>
          </w:p>
        </w:tc>
        <w:tc>
          <w:tcPr>
            <w:tcW w:w="1186" w:type="dxa"/>
          </w:tcPr>
          <w:p w:rsidR="00BF4AF6" w:rsidRPr="000453ED" w:rsidRDefault="00BF4AF6" w:rsidP="006F4C29">
            <w:pPr>
              <w:jc w:val="right"/>
              <w:rPr>
                <w:lang w:val="ru-RU" w:eastAsia="ru-RU"/>
              </w:rPr>
            </w:pPr>
            <w:r>
              <w:rPr>
                <w:lang w:val="ru-RU" w:eastAsia="ru-RU"/>
              </w:rPr>
              <w:t> (40 </w:t>
            </w:r>
            <w:r>
              <w:rPr>
                <w:lang w:val="en-US" w:eastAsia="ru-RU"/>
              </w:rPr>
              <w:t>202</w:t>
            </w:r>
            <w:r>
              <w:rPr>
                <w:lang w:val="ru-RU" w:eastAsia="ru-RU"/>
              </w:rPr>
              <w:t>)</w:t>
            </w:r>
          </w:p>
        </w:tc>
        <w:tc>
          <w:tcPr>
            <w:tcW w:w="1186" w:type="dxa"/>
          </w:tcPr>
          <w:p w:rsidR="00BF4AF6" w:rsidRPr="004034FB" w:rsidDel="003C1AEA" w:rsidRDefault="00BF4AF6" w:rsidP="00A1328E">
            <w:pPr>
              <w:jc w:val="right"/>
              <w:rPr>
                <w:lang w:val="en-US" w:eastAsia="ru-RU"/>
              </w:rPr>
            </w:pPr>
            <w:r w:rsidRPr="000453ED">
              <w:rPr>
                <w:lang w:val="ru-RU" w:eastAsia="ru-RU"/>
              </w:rPr>
              <w:t>2</w:t>
            </w:r>
            <w:r>
              <w:rPr>
                <w:lang w:val="en-US" w:eastAsia="ru-RU"/>
              </w:rPr>
              <w:t>0 995</w:t>
            </w:r>
          </w:p>
        </w:tc>
      </w:tr>
      <w:tr w:rsidR="00BF4AF6" w:rsidRPr="000453ED" w:rsidTr="003C1AEA">
        <w:trPr>
          <w:trHeight w:val="360"/>
        </w:trPr>
        <w:tc>
          <w:tcPr>
            <w:tcW w:w="673" w:type="dxa"/>
            <w:hideMark/>
          </w:tcPr>
          <w:p w:rsidR="00BF4AF6" w:rsidRPr="000453ED" w:rsidRDefault="00BF4AF6" w:rsidP="005A54C0">
            <w:pPr>
              <w:jc w:val="center"/>
              <w:rPr>
                <w:lang w:val="ru-RU" w:eastAsia="ru-RU"/>
              </w:rPr>
            </w:pPr>
            <w:r w:rsidRPr="000453ED">
              <w:rPr>
                <w:lang w:val="ru-RU" w:eastAsia="ru-RU"/>
              </w:rPr>
              <w:t>4.</w:t>
            </w:r>
          </w:p>
        </w:tc>
        <w:tc>
          <w:tcPr>
            <w:tcW w:w="6423" w:type="dxa"/>
            <w:hideMark/>
          </w:tcPr>
          <w:p w:rsidR="00BF4AF6" w:rsidRPr="00836721" w:rsidRDefault="00BF4AF6" w:rsidP="007C4502">
            <w:pPr>
              <w:rPr>
                <w:b/>
                <w:i/>
                <w:lang w:val="ru-RU" w:eastAsia="ru-RU"/>
              </w:rPr>
            </w:pPr>
            <w:proofErr w:type="spellStart"/>
            <w:r w:rsidRPr="00F62D88">
              <w:rPr>
                <w:b/>
                <w:i/>
                <w:lang w:val="ru-RU" w:eastAsia="ru-RU"/>
              </w:rPr>
              <w:t>Taxable</w:t>
            </w:r>
            <w:proofErr w:type="spellEnd"/>
            <w:r w:rsidRPr="00F62D88">
              <w:rPr>
                <w:b/>
                <w:i/>
                <w:lang w:val="ru-RU" w:eastAsia="ru-RU"/>
              </w:rPr>
              <w:t xml:space="preserve"> </w:t>
            </w:r>
            <w:proofErr w:type="spellStart"/>
            <w:r w:rsidRPr="00F62D88">
              <w:rPr>
                <w:b/>
                <w:i/>
                <w:lang w:val="ru-RU" w:eastAsia="ru-RU"/>
              </w:rPr>
              <w:t>temporary</w:t>
            </w:r>
            <w:proofErr w:type="spellEnd"/>
            <w:r w:rsidRPr="00F62D88">
              <w:rPr>
                <w:b/>
                <w:i/>
                <w:lang w:val="ru-RU" w:eastAsia="ru-RU"/>
              </w:rPr>
              <w:t xml:space="preserve"> </w:t>
            </w:r>
            <w:proofErr w:type="spellStart"/>
            <w:r w:rsidRPr="00F62D88">
              <w:rPr>
                <w:b/>
                <w:i/>
                <w:lang w:val="ru-RU" w:eastAsia="ru-RU"/>
              </w:rPr>
              <w:t>differences</w:t>
            </w:r>
            <w:proofErr w:type="spellEnd"/>
          </w:p>
        </w:tc>
        <w:tc>
          <w:tcPr>
            <w:tcW w:w="1186" w:type="dxa"/>
          </w:tcPr>
          <w:p w:rsidR="00BF4AF6" w:rsidRPr="000453ED" w:rsidRDefault="00BF4AF6" w:rsidP="00A1328E">
            <w:pPr>
              <w:jc w:val="right"/>
              <w:rPr>
                <w:lang w:val="ru-RU" w:eastAsia="ru-RU"/>
              </w:rPr>
            </w:pPr>
            <w:r>
              <w:rPr>
                <w:lang w:val="ru-RU" w:eastAsia="ru-RU"/>
              </w:rPr>
              <w:t>3 220 274</w:t>
            </w:r>
          </w:p>
        </w:tc>
        <w:tc>
          <w:tcPr>
            <w:tcW w:w="1186" w:type="dxa"/>
          </w:tcPr>
          <w:p w:rsidR="00BF4AF6" w:rsidRPr="000453ED" w:rsidDel="003C1AEA" w:rsidRDefault="00BF4AF6" w:rsidP="00A1328E">
            <w:pPr>
              <w:jc w:val="right"/>
              <w:rPr>
                <w:lang w:val="ru-RU" w:eastAsia="ru-RU"/>
              </w:rPr>
            </w:pPr>
            <w:r w:rsidRPr="000453ED">
              <w:rPr>
                <w:lang w:val="ru-RU" w:eastAsia="ru-RU"/>
              </w:rPr>
              <w:t>3 859 258</w:t>
            </w:r>
          </w:p>
        </w:tc>
      </w:tr>
      <w:tr w:rsidR="00F304B9" w:rsidRPr="000453ED" w:rsidTr="002644C5">
        <w:trPr>
          <w:trHeight w:val="540"/>
        </w:trPr>
        <w:tc>
          <w:tcPr>
            <w:tcW w:w="673" w:type="dxa"/>
            <w:hideMark/>
          </w:tcPr>
          <w:p w:rsidR="00F304B9" w:rsidRPr="000453ED" w:rsidRDefault="00F304B9" w:rsidP="005A54C0">
            <w:pPr>
              <w:jc w:val="center"/>
              <w:rPr>
                <w:lang w:val="ru-RU" w:eastAsia="ru-RU"/>
              </w:rPr>
            </w:pPr>
            <w:r w:rsidRPr="000453ED">
              <w:rPr>
                <w:lang w:val="ru-RU" w:eastAsia="ru-RU"/>
              </w:rPr>
              <w:t>4.1.</w:t>
            </w:r>
          </w:p>
        </w:tc>
        <w:tc>
          <w:tcPr>
            <w:tcW w:w="6423" w:type="dxa"/>
            <w:hideMark/>
          </w:tcPr>
          <w:p w:rsidR="00F304B9" w:rsidRPr="004A5B4B" w:rsidRDefault="004A5B4B" w:rsidP="00FC4250">
            <w:pPr>
              <w:rPr>
                <w:lang w:val="en-US" w:eastAsia="ru-RU"/>
              </w:rPr>
            </w:pPr>
            <w:r w:rsidRPr="00F62D88">
              <w:rPr>
                <w:lang w:val="en-US" w:eastAsia="ru-RU"/>
              </w:rPr>
              <w:t>Fixed Assets depreciation (the amount of depreciation for tax accounting is more than the sum of depreciation for business accounting</w:t>
            </w:r>
            <w:r w:rsidR="00F304B9" w:rsidRPr="004A5B4B">
              <w:rPr>
                <w:lang w:val="en-US" w:eastAsia="ru-RU"/>
              </w:rPr>
              <w:t>)</w:t>
            </w:r>
          </w:p>
        </w:tc>
        <w:tc>
          <w:tcPr>
            <w:tcW w:w="1186" w:type="dxa"/>
          </w:tcPr>
          <w:p w:rsidR="00F304B9" w:rsidRPr="000453ED" w:rsidRDefault="00F304B9" w:rsidP="00A1328E">
            <w:pPr>
              <w:jc w:val="right"/>
              <w:rPr>
                <w:lang w:val="ru-RU" w:eastAsia="ru-RU"/>
              </w:rPr>
            </w:pPr>
            <w:r>
              <w:rPr>
                <w:lang w:val="ru-RU" w:eastAsia="ru-RU"/>
              </w:rPr>
              <w:t>2 976 353</w:t>
            </w:r>
          </w:p>
        </w:tc>
        <w:tc>
          <w:tcPr>
            <w:tcW w:w="1186" w:type="dxa"/>
          </w:tcPr>
          <w:p w:rsidR="00F304B9" w:rsidRPr="000453ED" w:rsidDel="003C1AEA" w:rsidRDefault="00F304B9" w:rsidP="00A1328E">
            <w:pPr>
              <w:jc w:val="right"/>
              <w:rPr>
                <w:lang w:val="ru-RU" w:eastAsia="ru-RU"/>
              </w:rPr>
            </w:pPr>
            <w:r w:rsidRPr="000453ED">
              <w:rPr>
                <w:lang w:val="ru-RU" w:eastAsia="ru-RU"/>
              </w:rPr>
              <w:t>3 604 275</w:t>
            </w:r>
          </w:p>
        </w:tc>
      </w:tr>
      <w:tr w:rsidR="003C1AEA" w:rsidRPr="000453ED" w:rsidTr="003C1AEA">
        <w:trPr>
          <w:trHeight w:val="266"/>
        </w:trPr>
        <w:tc>
          <w:tcPr>
            <w:tcW w:w="673" w:type="dxa"/>
            <w:hideMark/>
          </w:tcPr>
          <w:p w:rsidR="003C1AEA" w:rsidRPr="000453ED" w:rsidRDefault="003C1AEA" w:rsidP="005A54C0">
            <w:pPr>
              <w:jc w:val="center"/>
              <w:rPr>
                <w:lang w:val="ru-RU" w:eastAsia="ru-RU"/>
              </w:rPr>
            </w:pPr>
            <w:r w:rsidRPr="000453ED">
              <w:rPr>
                <w:lang w:val="ru-RU" w:eastAsia="ru-RU"/>
              </w:rPr>
              <w:t>4.</w:t>
            </w:r>
            <w:r w:rsidR="001831A1">
              <w:rPr>
                <w:lang w:val="en-US" w:eastAsia="ru-RU"/>
              </w:rPr>
              <w:t>2</w:t>
            </w:r>
            <w:r w:rsidRPr="000453ED">
              <w:rPr>
                <w:lang w:val="ru-RU" w:eastAsia="ru-RU"/>
              </w:rPr>
              <w:t>.</w:t>
            </w:r>
          </w:p>
        </w:tc>
        <w:tc>
          <w:tcPr>
            <w:tcW w:w="6423" w:type="dxa"/>
            <w:hideMark/>
          </w:tcPr>
          <w:p w:rsidR="003C1AEA" w:rsidRPr="000453ED" w:rsidRDefault="004A5B4B" w:rsidP="00FC4250">
            <w:pPr>
              <w:rPr>
                <w:lang w:val="ru-RU" w:eastAsia="ru-RU"/>
              </w:rPr>
            </w:pPr>
            <w:proofErr w:type="spellStart"/>
            <w:r w:rsidRPr="00F62D88">
              <w:rPr>
                <w:lang w:val="ru-RU" w:eastAsia="ru-RU"/>
              </w:rPr>
              <w:t>Other</w:t>
            </w:r>
            <w:proofErr w:type="spellEnd"/>
            <w:r w:rsidRPr="00F62D88">
              <w:rPr>
                <w:lang w:val="ru-RU" w:eastAsia="ru-RU"/>
              </w:rPr>
              <w:t xml:space="preserve"> </w:t>
            </w:r>
            <w:proofErr w:type="spellStart"/>
            <w:r w:rsidRPr="00F62D88">
              <w:rPr>
                <w:lang w:val="ru-RU" w:eastAsia="ru-RU"/>
              </w:rPr>
              <w:t>taxable</w:t>
            </w:r>
            <w:proofErr w:type="spellEnd"/>
            <w:r w:rsidRPr="00F62D88">
              <w:rPr>
                <w:lang w:val="ru-RU" w:eastAsia="ru-RU"/>
              </w:rPr>
              <w:t xml:space="preserve"> </w:t>
            </w:r>
            <w:proofErr w:type="spellStart"/>
            <w:r w:rsidRPr="00F62D88">
              <w:rPr>
                <w:lang w:val="ru-RU" w:eastAsia="ru-RU"/>
              </w:rPr>
              <w:t>temporary</w:t>
            </w:r>
            <w:proofErr w:type="spellEnd"/>
            <w:r w:rsidRPr="00F62D88">
              <w:rPr>
                <w:lang w:val="ru-RU" w:eastAsia="ru-RU"/>
              </w:rPr>
              <w:t xml:space="preserve"> </w:t>
            </w:r>
            <w:proofErr w:type="spellStart"/>
            <w:r w:rsidRPr="00F62D88">
              <w:rPr>
                <w:lang w:val="ru-RU" w:eastAsia="ru-RU"/>
              </w:rPr>
              <w:t>differences</w:t>
            </w:r>
            <w:proofErr w:type="spellEnd"/>
          </w:p>
        </w:tc>
        <w:tc>
          <w:tcPr>
            <w:tcW w:w="1186" w:type="dxa"/>
          </w:tcPr>
          <w:p w:rsidR="003C1AEA" w:rsidRPr="004034FB" w:rsidRDefault="000453ED" w:rsidP="00A1328E">
            <w:pPr>
              <w:jc w:val="right"/>
              <w:rPr>
                <w:lang w:val="en-US" w:eastAsia="ru-RU"/>
              </w:rPr>
            </w:pPr>
            <w:r>
              <w:rPr>
                <w:lang w:val="ru-RU" w:eastAsia="ru-RU"/>
              </w:rPr>
              <w:t xml:space="preserve">243 </w:t>
            </w:r>
            <w:r w:rsidR="001C29C0">
              <w:rPr>
                <w:lang w:val="en-US" w:eastAsia="ru-RU"/>
              </w:rPr>
              <w:t>921</w:t>
            </w:r>
          </w:p>
        </w:tc>
        <w:tc>
          <w:tcPr>
            <w:tcW w:w="1186" w:type="dxa"/>
          </w:tcPr>
          <w:p w:rsidR="003C1AEA" w:rsidRPr="004034FB" w:rsidDel="003C1AEA" w:rsidRDefault="003C1AEA" w:rsidP="00A1328E">
            <w:pPr>
              <w:jc w:val="right"/>
              <w:rPr>
                <w:lang w:val="en-US" w:eastAsia="ru-RU"/>
              </w:rPr>
            </w:pPr>
            <w:r w:rsidRPr="000453ED">
              <w:rPr>
                <w:lang w:val="ru-RU" w:eastAsia="ru-RU"/>
              </w:rPr>
              <w:t>25</w:t>
            </w:r>
            <w:r w:rsidR="001C29C0">
              <w:rPr>
                <w:lang w:val="en-US" w:eastAsia="ru-RU"/>
              </w:rPr>
              <w:t>4 983</w:t>
            </w:r>
          </w:p>
        </w:tc>
      </w:tr>
      <w:tr w:rsidR="00215FC3" w:rsidRPr="000453ED" w:rsidTr="003C1AEA">
        <w:trPr>
          <w:trHeight w:val="255"/>
        </w:trPr>
        <w:tc>
          <w:tcPr>
            <w:tcW w:w="673" w:type="dxa"/>
          </w:tcPr>
          <w:p w:rsidR="00215FC3" w:rsidRPr="000453ED" w:rsidRDefault="00215FC3" w:rsidP="005A54C0">
            <w:pPr>
              <w:jc w:val="center"/>
              <w:rPr>
                <w:lang w:val="ru-RU" w:eastAsia="ru-RU"/>
              </w:rPr>
            </w:pPr>
          </w:p>
        </w:tc>
        <w:tc>
          <w:tcPr>
            <w:tcW w:w="6423" w:type="dxa"/>
          </w:tcPr>
          <w:p w:rsidR="00215FC3" w:rsidRPr="000453ED" w:rsidRDefault="004A5B4B" w:rsidP="00215FC3">
            <w:pPr>
              <w:rPr>
                <w:lang w:val="ru-RU" w:eastAsia="ru-RU"/>
              </w:rPr>
            </w:pPr>
            <w:proofErr w:type="spellStart"/>
            <w:r>
              <w:rPr>
                <w:lang w:val="ru-RU" w:eastAsia="ru-RU"/>
              </w:rPr>
              <w:t>including</w:t>
            </w:r>
            <w:proofErr w:type="spellEnd"/>
            <w:r>
              <w:rPr>
                <w:lang w:val="ru-RU" w:eastAsia="ru-RU"/>
              </w:rPr>
              <w:t xml:space="preserve"> </w:t>
            </w:r>
            <w:proofErr w:type="spellStart"/>
            <w:r>
              <w:rPr>
                <w:lang w:val="en-US" w:eastAsia="ru-RU"/>
              </w:rPr>
              <w:t>i</w:t>
            </w:r>
            <w:r w:rsidRPr="004A5B4B">
              <w:rPr>
                <w:lang w:val="ru-RU" w:eastAsia="ru-RU"/>
              </w:rPr>
              <w:t>nterest</w:t>
            </w:r>
            <w:proofErr w:type="spellEnd"/>
            <w:r w:rsidRPr="004A5B4B">
              <w:rPr>
                <w:lang w:val="ru-RU" w:eastAsia="ru-RU"/>
              </w:rPr>
              <w:t xml:space="preserve"> </w:t>
            </w:r>
            <w:proofErr w:type="spellStart"/>
            <w:r w:rsidRPr="004A5B4B">
              <w:rPr>
                <w:lang w:val="ru-RU" w:eastAsia="ru-RU"/>
              </w:rPr>
              <w:t>on</w:t>
            </w:r>
            <w:proofErr w:type="spellEnd"/>
            <w:r w:rsidRPr="004A5B4B">
              <w:rPr>
                <w:lang w:val="ru-RU" w:eastAsia="ru-RU"/>
              </w:rPr>
              <w:t xml:space="preserve"> </w:t>
            </w:r>
            <w:proofErr w:type="spellStart"/>
            <w:r w:rsidRPr="004A5B4B">
              <w:rPr>
                <w:lang w:val="ru-RU" w:eastAsia="ru-RU"/>
              </w:rPr>
              <w:t>debt</w:t>
            </w:r>
            <w:proofErr w:type="spellEnd"/>
          </w:p>
        </w:tc>
        <w:tc>
          <w:tcPr>
            <w:tcW w:w="1186" w:type="dxa"/>
          </w:tcPr>
          <w:p w:rsidR="00215FC3" w:rsidRPr="000453ED" w:rsidRDefault="00215FC3" w:rsidP="00215FC3">
            <w:pPr>
              <w:jc w:val="right"/>
              <w:rPr>
                <w:lang w:val="ru-RU" w:eastAsia="ru-RU"/>
              </w:rPr>
            </w:pPr>
            <w:r>
              <w:rPr>
                <w:lang w:val="ru-RU" w:eastAsia="ru-RU"/>
              </w:rPr>
              <w:t>225 974</w:t>
            </w:r>
          </w:p>
        </w:tc>
        <w:tc>
          <w:tcPr>
            <w:tcW w:w="1186" w:type="dxa"/>
          </w:tcPr>
          <w:p w:rsidR="00215FC3" w:rsidRPr="000453ED" w:rsidDel="003C1AEA" w:rsidRDefault="00215FC3" w:rsidP="00215FC3">
            <w:pPr>
              <w:jc w:val="right"/>
              <w:rPr>
                <w:lang w:val="ru-RU" w:eastAsia="ru-RU"/>
              </w:rPr>
            </w:pPr>
            <w:r>
              <w:rPr>
                <w:lang w:val="ru-RU" w:eastAsia="ru-RU"/>
              </w:rPr>
              <w:t>232 335</w:t>
            </w:r>
          </w:p>
        </w:tc>
      </w:tr>
      <w:tr w:rsidR="00215FC3" w:rsidRPr="000453ED" w:rsidTr="003C1AEA">
        <w:trPr>
          <w:trHeight w:val="255"/>
        </w:trPr>
        <w:tc>
          <w:tcPr>
            <w:tcW w:w="673" w:type="dxa"/>
            <w:hideMark/>
          </w:tcPr>
          <w:p w:rsidR="00215FC3" w:rsidRPr="000453ED" w:rsidRDefault="00215FC3" w:rsidP="005A54C0">
            <w:pPr>
              <w:jc w:val="center"/>
              <w:rPr>
                <w:lang w:val="ru-RU" w:eastAsia="ru-RU"/>
              </w:rPr>
            </w:pPr>
          </w:p>
        </w:tc>
        <w:tc>
          <w:tcPr>
            <w:tcW w:w="6423" w:type="dxa"/>
            <w:hideMark/>
          </w:tcPr>
          <w:p w:rsidR="00215FC3" w:rsidRPr="0029431B" w:rsidRDefault="004A5B4B" w:rsidP="00215FC3">
            <w:pPr>
              <w:rPr>
                <w:lang w:val="en-US" w:eastAsia="ru-RU"/>
              </w:rPr>
            </w:pPr>
            <w:r w:rsidRPr="00F62D88">
              <w:rPr>
                <w:lang w:val="en-US" w:eastAsia="ru-RU"/>
              </w:rPr>
              <w:t>Total (sum of line 2 + sum of line 3 – sum of line 4</w:t>
            </w:r>
            <w:r w:rsidR="00215FC3" w:rsidRPr="0029431B">
              <w:rPr>
                <w:lang w:val="en-US" w:eastAsia="ru-RU"/>
              </w:rPr>
              <w:t>)</w:t>
            </w:r>
          </w:p>
        </w:tc>
        <w:tc>
          <w:tcPr>
            <w:tcW w:w="1186" w:type="dxa"/>
          </w:tcPr>
          <w:p w:rsidR="00215FC3" w:rsidRPr="000453ED" w:rsidRDefault="00215FC3" w:rsidP="00215FC3">
            <w:pPr>
              <w:jc w:val="right"/>
              <w:rPr>
                <w:lang w:val="ru-RU" w:eastAsia="ru-RU"/>
              </w:rPr>
            </w:pPr>
            <w:r>
              <w:rPr>
                <w:lang w:val="ru-RU" w:eastAsia="ru-RU"/>
              </w:rPr>
              <w:t>36 632</w:t>
            </w:r>
          </w:p>
        </w:tc>
        <w:tc>
          <w:tcPr>
            <w:tcW w:w="1186" w:type="dxa"/>
          </w:tcPr>
          <w:p w:rsidR="00215FC3" w:rsidRPr="000453ED" w:rsidDel="003C1AEA" w:rsidRDefault="00215FC3" w:rsidP="00215FC3">
            <w:pPr>
              <w:jc w:val="right"/>
              <w:rPr>
                <w:lang w:val="ru-RU" w:eastAsia="ru-RU"/>
              </w:rPr>
            </w:pPr>
            <w:r w:rsidRPr="000453ED">
              <w:rPr>
                <w:lang w:val="ru-RU" w:eastAsia="ru-RU"/>
              </w:rPr>
              <w:t>1 551 963</w:t>
            </w:r>
          </w:p>
        </w:tc>
      </w:tr>
      <w:tr w:rsidR="00215FC3" w:rsidRPr="000453ED" w:rsidTr="003C1AEA">
        <w:trPr>
          <w:trHeight w:val="345"/>
        </w:trPr>
        <w:tc>
          <w:tcPr>
            <w:tcW w:w="673" w:type="dxa"/>
            <w:hideMark/>
          </w:tcPr>
          <w:p w:rsidR="00215FC3" w:rsidRPr="000453ED" w:rsidRDefault="00215FC3" w:rsidP="005A54C0">
            <w:pPr>
              <w:jc w:val="center"/>
              <w:rPr>
                <w:lang w:val="ru-RU" w:eastAsia="ru-RU"/>
              </w:rPr>
            </w:pPr>
          </w:p>
        </w:tc>
        <w:tc>
          <w:tcPr>
            <w:tcW w:w="6423" w:type="dxa"/>
            <w:hideMark/>
          </w:tcPr>
          <w:p w:rsidR="00215FC3" w:rsidRPr="000453ED" w:rsidRDefault="0029431B" w:rsidP="00215FC3">
            <w:pPr>
              <w:rPr>
                <w:b/>
                <w:lang w:val="ru-RU" w:eastAsia="ru-RU"/>
              </w:rPr>
            </w:pPr>
            <w:r w:rsidRPr="0031357F">
              <w:rPr>
                <w:b/>
                <w:lang w:val="ru-RU" w:eastAsia="ru-RU"/>
              </w:rPr>
              <w:t>TAX DECLARATION DATA</w:t>
            </w:r>
          </w:p>
        </w:tc>
        <w:tc>
          <w:tcPr>
            <w:tcW w:w="1186" w:type="dxa"/>
          </w:tcPr>
          <w:p w:rsidR="00215FC3" w:rsidRPr="000453ED" w:rsidRDefault="00215FC3" w:rsidP="00215FC3">
            <w:pPr>
              <w:jc w:val="right"/>
              <w:rPr>
                <w:lang w:val="ru-RU" w:eastAsia="ru-RU"/>
              </w:rPr>
            </w:pPr>
          </w:p>
        </w:tc>
        <w:tc>
          <w:tcPr>
            <w:tcW w:w="1186" w:type="dxa"/>
          </w:tcPr>
          <w:p w:rsidR="00215FC3" w:rsidRPr="000453ED" w:rsidDel="003C1AEA" w:rsidRDefault="00215FC3" w:rsidP="00215FC3">
            <w:pPr>
              <w:jc w:val="right"/>
              <w:rPr>
                <w:lang w:val="ru-RU" w:eastAsia="ru-RU"/>
              </w:rPr>
            </w:pPr>
            <w:r w:rsidRPr="000453ED">
              <w:rPr>
                <w:lang w:val="ru-RU" w:eastAsia="ru-RU"/>
              </w:rPr>
              <w:t> </w:t>
            </w:r>
          </w:p>
        </w:tc>
      </w:tr>
      <w:tr w:rsidR="00215FC3" w:rsidRPr="000453ED" w:rsidTr="002644C5">
        <w:trPr>
          <w:trHeight w:val="540"/>
        </w:trPr>
        <w:tc>
          <w:tcPr>
            <w:tcW w:w="673" w:type="dxa"/>
            <w:hideMark/>
          </w:tcPr>
          <w:p w:rsidR="00215FC3" w:rsidRPr="000453ED" w:rsidRDefault="00215FC3" w:rsidP="005A54C0">
            <w:pPr>
              <w:jc w:val="center"/>
              <w:rPr>
                <w:lang w:val="ru-RU" w:eastAsia="ru-RU"/>
              </w:rPr>
            </w:pPr>
            <w:r w:rsidRPr="000453ED">
              <w:rPr>
                <w:lang w:val="ru-RU" w:eastAsia="ru-RU"/>
              </w:rPr>
              <w:t>5.</w:t>
            </w:r>
          </w:p>
        </w:tc>
        <w:tc>
          <w:tcPr>
            <w:tcW w:w="6423" w:type="dxa"/>
            <w:hideMark/>
          </w:tcPr>
          <w:p w:rsidR="00215FC3" w:rsidRPr="0029431B" w:rsidRDefault="0029431B" w:rsidP="00215FC3">
            <w:pPr>
              <w:rPr>
                <w:lang w:val="en-US" w:eastAsia="ru-RU"/>
              </w:rPr>
            </w:pPr>
            <w:r w:rsidRPr="00DE1400">
              <w:rPr>
                <w:lang w:val="en-US" w:eastAsia="ru-RU"/>
              </w:rPr>
              <w:t>Total profit (loss) under line 100 of Sheet 02 of the Tax declaration of current tax period</w:t>
            </w:r>
          </w:p>
        </w:tc>
        <w:tc>
          <w:tcPr>
            <w:tcW w:w="1186" w:type="dxa"/>
          </w:tcPr>
          <w:p w:rsidR="00215FC3" w:rsidRPr="000453ED" w:rsidRDefault="00215FC3" w:rsidP="00215FC3">
            <w:pPr>
              <w:jc w:val="right"/>
              <w:rPr>
                <w:lang w:val="ru-RU" w:eastAsia="ru-RU"/>
              </w:rPr>
            </w:pPr>
            <w:r>
              <w:rPr>
                <w:lang w:val="ru-RU" w:eastAsia="ru-RU"/>
              </w:rPr>
              <w:t>4 856 251</w:t>
            </w:r>
          </w:p>
        </w:tc>
        <w:tc>
          <w:tcPr>
            <w:tcW w:w="1186" w:type="dxa"/>
          </w:tcPr>
          <w:p w:rsidR="00215FC3" w:rsidRPr="000453ED" w:rsidDel="003C1AEA" w:rsidRDefault="00215FC3" w:rsidP="00215FC3">
            <w:pPr>
              <w:jc w:val="right"/>
              <w:rPr>
                <w:lang w:val="ru-RU" w:eastAsia="ru-RU"/>
              </w:rPr>
            </w:pPr>
            <w:r w:rsidRPr="000453ED">
              <w:rPr>
                <w:lang w:val="ru-RU" w:eastAsia="ru-RU"/>
              </w:rPr>
              <w:t>3 481 385</w:t>
            </w:r>
          </w:p>
        </w:tc>
      </w:tr>
      <w:tr w:rsidR="00215FC3" w:rsidRPr="000453ED" w:rsidTr="003C1AEA">
        <w:trPr>
          <w:trHeight w:val="332"/>
        </w:trPr>
        <w:tc>
          <w:tcPr>
            <w:tcW w:w="673" w:type="dxa"/>
            <w:hideMark/>
          </w:tcPr>
          <w:p w:rsidR="00215FC3" w:rsidRPr="000453ED" w:rsidRDefault="00215FC3" w:rsidP="005A54C0">
            <w:pPr>
              <w:jc w:val="center"/>
              <w:rPr>
                <w:lang w:val="ru-RU" w:eastAsia="ru-RU"/>
              </w:rPr>
            </w:pPr>
            <w:r w:rsidRPr="000453ED">
              <w:rPr>
                <w:lang w:val="ru-RU" w:eastAsia="ru-RU"/>
              </w:rPr>
              <w:t>5.1.</w:t>
            </w:r>
          </w:p>
        </w:tc>
        <w:tc>
          <w:tcPr>
            <w:tcW w:w="6423" w:type="dxa"/>
            <w:hideMark/>
          </w:tcPr>
          <w:p w:rsidR="00215FC3" w:rsidRPr="000453ED" w:rsidRDefault="0029431B" w:rsidP="00215FC3">
            <w:pPr>
              <w:rPr>
                <w:lang w:val="ru-RU" w:eastAsia="ru-RU"/>
              </w:rPr>
            </w:pPr>
            <w:r>
              <w:rPr>
                <w:lang w:val="de-DE" w:eastAsia="ru-RU"/>
              </w:rPr>
              <w:t>C</w:t>
            </w:r>
            <w:proofErr w:type="spellStart"/>
            <w:r w:rsidRPr="00D83F05">
              <w:rPr>
                <w:lang w:val="ru-RU" w:eastAsia="ru-RU"/>
              </w:rPr>
              <w:t>urrent</w:t>
            </w:r>
            <w:proofErr w:type="spellEnd"/>
            <w:r w:rsidRPr="00D83F05">
              <w:rPr>
                <w:lang w:val="ru-RU" w:eastAsia="ru-RU"/>
              </w:rPr>
              <w:t xml:space="preserve"> </w:t>
            </w:r>
            <w:proofErr w:type="spellStart"/>
            <w:r w:rsidRPr="00D83F05">
              <w:rPr>
                <w:lang w:val="ru-RU" w:eastAsia="ru-RU"/>
              </w:rPr>
              <w:t>profit</w:t>
            </w:r>
            <w:proofErr w:type="spellEnd"/>
            <w:r w:rsidRPr="00D83F05">
              <w:rPr>
                <w:lang w:val="ru-RU" w:eastAsia="ru-RU"/>
              </w:rPr>
              <w:t xml:space="preserve"> </w:t>
            </w:r>
            <w:proofErr w:type="spellStart"/>
            <w:r w:rsidRPr="00D83F05">
              <w:rPr>
                <w:lang w:val="ru-RU" w:eastAsia="ru-RU"/>
              </w:rPr>
              <w:t>tax</w:t>
            </w:r>
            <w:proofErr w:type="spellEnd"/>
          </w:p>
        </w:tc>
        <w:tc>
          <w:tcPr>
            <w:tcW w:w="1186" w:type="dxa"/>
          </w:tcPr>
          <w:p w:rsidR="00215FC3" w:rsidRPr="000453ED" w:rsidRDefault="00215FC3" w:rsidP="00215FC3">
            <w:pPr>
              <w:jc w:val="right"/>
              <w:rPr>
                <w:lang w:val="ru-RU" w:eastAsia="ru-RU"/>
              </w:rPr>
            </w:pPr>
            <w:r>
              <w:rPr>
                <w:lang w:val="ru-RU" w:eastAsia="ru-RU"/>
              </w:rPr>
              <w:t>971 250</w:t>
            </w:r>
          </w:p>
        </w:tc>
        <w:tc>
          <w:tcPr>
            <w:tcW w:w="1186" w:type="dxa"/>
          </w:tcPr>
          <w:p w:rsidR="00215FC3" w:rsidRPr="000453ED" w:rsidDel="003C1AEA" w:rsidRDefault="00215FC3" w:rsidP="00215FC3">
            <w:pPr>
              <w:jc w:val="right"/>
              <w:rPr>
                <w:lang w:val="ru-RU" w:eastAsia="ru-RU"/>
              </w:rPr>
            </w:pPr>
            <w:r w:rsidRPr="000453ED">
              <w:rPr>
                <w:lang w:val="ru-RU" w:eastAsia="ru-RU"/>
              </w:rPr>
              <w:t>696 277</w:t>
            </w:r>
          </w:p>
        </w:tc>
      </w:tr>
      <w:tr w:rsidR="00215FC3" w:rsidRPr="000453ED" w:rsidTr="002644C5">
        <w:trPr>
          <w:trHeight w:val="549"/>
        </w:trPr>
        <w:tc>
          <w:tcPr>
            <w:tcW w:w="673" w:type="dxa"/>
            <w:hideMark/>
          </w:tcPr>
          <w:p w:rsidR="00215FC3" w:rsidRPr="000453ED" w:rsidRDefault="00215FC3" w:rsidP="005A54C0">
            <w:pPr>
              <w:jc w:val="center"/>
              <w:rPr>
                <w:lang w:val="ru-RU" w:eastAsia="ru-RU"/>
              </w:rPr>
            </w:pPr>
            <w:r w:rsidRPr="000453ED">
              <w:rPr>
                <w:lang w:val="ru-RU" w:eastAsia="ru-RU"/>
              </w:rPr>
              <w:t>6.</w:t>
            </w:r>
          </w:p>
        </w:tc>
        <w:tc>
          <w:tcPr>
            <w:tcW w:w="6423" w:type="dxa"/>
            <w:hideMark/>
          </w:tcPr>
          <w:p w:rsidR="00215FC3" w:rsidRPr="0029431B" w:rsidRDefault="0029431B" w:rsidP="00215FC3">
            <w:pPr>
              <w:rPr>
                <w:lang w:val="en-US" w:eastAsia="ru-RU"/>
              </w:rPr>
            </w:pPr>
            <w:r w:rsidRPr="00D83F05">
              <w:rPr>
                <w:lang w:val="en-US" w:eastAsia="ru-RU"/>
              </w:rPr>
              <w:t>Total</w:t>
            </w:r>
            <w:r w:rsidRPr="00DE1400">
              <w:rPr>
                <w:lang w:val="en-US" w:eastAsia="ru-RU"/>
              </w:rPr>
              <w:t xml:space="preserve"> </w:t>
            </w:r>
            <w:r w:rsidRPr="00D83F05">
              <w:rPr>
                <w:lang w:val="en-US" w:eastAsia="ru-RU"/>
              </w:rPr>
              <w:t>full</w:t>
            </w:r>
            <w:r w:rsidRPr="00DE1400">
              <w:rPr>
                <w:lang w:val="en-US" w:eastAsia="ru-RU"/>
              </w:rPr>
              <w:t xml:space="preserve"> </w:t>
            </w:r>
            <w:r w:rsidRPr="00D83F05">
              <w:rPr>
                <w:lang w:val="en-US" w:eastAsia="ru-RU"/>
              </w:rPr>
              <w:t>appreciated</w:t>
            </w:r>
            <w:r w:rsidRPr="00DE1400">
              <w:rPr>
                <w:lang w:val="en-US" w:eastAsia="ru-RU"/>
              </w:rPr>
              <w:t xml:space="preserve"> </w:t>
            </w:r>
            <w:r w:rsidRPr="00D83F05">
              <w:rPr>
                <w:lang w:val="en-US" w:eastAsia="ru-RU"/>
              </w:rPr>
              <w:t>profit</w:t>
            </w:r>
            <w:r w:rsidRPr="00DE1400">
              <w:rPr>
                <w:lang w:val="en-US" w:eastAsia="ru-RU"/>
              </w:rPr>
              <w:t xml:space="preserve"> </w:t>
            </w:r>
            <w:r w:rsidRPr="00D83F05">
              <w:rPr>
                <w:lang w:val="en-US" w:eastAsia="ru-RU"/>
              </w:rPr>
              <w:t>under</w:t>
            </w:r>
            <w:r w:rsidRPr="00DE1400">
              <w:rPr>
                <w:lang w:val="en-US" w:eastAsia="ru-RU"/>
              </w:rPr>
              <w:t xml:space="preserve"> </w:t>
            </w:r>
            <w:r w:rsidRPr="00D83F05">
              <w:rPr>
                <w:lang w:val="en-US" w:eastAsia="ru-RU"/>
              </w:rPr>
              <w:t>the</w:t>
            </w:r>
            <w:r w:rsidRPr="00DE1400">
              <w:rPr>
                <w:lang w:val="en-US" w:eastAsia="ru-RU"/>
              </w:rPr>
              <w:t xml:space="preserve"> </w:t>
            </w:r>
            <w:r w:rsidRPr="00D83F05">
              <w:rPr>
                <w:lang w:val="en-US" w:eastAsia="ru-RU"/>
              </w:rPr>
              <w:t>Tax</w:t>
            </w:r>
            <w:r w:rsidRPr="00DE1400">
              <w:rPr>
                <w:lang w:val="en-US" w:eastAsia="ru-RU"/>
              </w:rPr>
              <w:t xml:space="preserve"> </w:t>
            </w:r>
            <w:r w:rsidRPr="00D83F05">
              <w:rPr>
                <w:lang w:val="en-US" w:eastAsia="ru-RU"/>
              </w:rPr>
              <w:t>declaration</w:t>
            </w:r>
            <w:r w:rsidRPr="00DE1400">
              <w:rPr>
                <w:lang w:val="en-US" w:eastAsia="ru-RU"/>
              </w:rPr>
              <w:t xml:space="preserve"> </w:t>
            </w:r>
            <w:r w:rsidRPr="00D83F05">
              <w:rPr>
                <w:lang w:val="en-US" w:eastAsia="ru-RU"/>
              </w:rPr>
              <w:t>of</w:t>
            </w:r>
            <w:r w:rsidRPr="00DE1400">
              <w:rPr>
                <w:lang w:val="en-US" w:eastAsia="ru-RU"/>
              </w:rPr>
              <w:t xml:space="preserve"> </w:t>
            </w:r>
            <w:r w:rsidRPr="00D83F05">
              <w:rPr>
                <w:lang w:val="en-US" w:eastAsia="ru-RU"/>
              </w:rPr>
              <w:t>previous</w:t>
            </w:r>
            <w:r w:rsidRPr="00DE1400">
              <w:rPr>
                <w:lang w:val="en-US" w:eastAsia="ru-RU"/>
              </w:rPr>
              <w:t xml:space="preserve"> </w:t>
            </w:r>
            <w:r w:rsidRPr="00D83F05">
              <w:rPr>
                <w:lang w:val="en-US" w:eastAsia="ru-RU"/>
              </w:rPr>
              <w:t>tax</w:t>
            </w:r>
            <w:r w:rsidRPr="00DE1400">
              <w:rPr>
                <w:lang w:val="en-US" w:eastAsia="ru-RU"/>
              </w:rPr>
              <w:t xml:space="preserve"> </w:t>
            </w:r>
            <w:r w:rsidRPr="00D83F05">
              <w:rPr>
                <w:lang w:val="en-US" w:eastAsia="ru-RU"/>
              </w:rPr>
              <w:t>periods</w:t>
            </w:r>
          </w:p>
        </w:tc>
        <w:tc>
          <w:tcPr>
            <w:tcW w:w="1186" w:type="dxa"/>
          </w:tcPr>
          <w:p w:rsidR="00215FC3" w:rsidRPr="000453ED" w:rsidRDefault="00215FC3" w:rsidP="00215FC3">
            <w:pPr>
              <w:jc w:val="right"/>
              <w:rPr>
                <w:lang w:val="ru-RU" w:eastAsia="ru-RU"/>
              </w:rPr>
            </w:pPr>
            <w:r>
              <w:rPr>
                <w:lang w:val="ru-RU" w:eastAsia="ru-RU"/>
              </w:rPr>
              <w:t>(406 370)</w:t>
            </w:r>
          </w:p>
        </w:tc>
        <w:tc>
          <w:tcPr>
            <w:tcW w:w="1186" w:type="dxa"/>
          </w:tcPr>
          <w:p w:rsidR="00215FC3" w:rsidRPr="000453ED" w:rsidDel="003C1AEA" w:rsidRDefault="00215FC3" w:rsidP="00215FC3">
            <w:pPr>
              <w:jc w:val="right"/>
              <w:rPr>
                <w:lang w:val="ru-RU" w:eastAsia="ru-RU"/>
              </w:rPr>
            </w:pPr>
            <w:r w:rsidRPr="000453ED">
              <w:rPr>
                <w:lang w:val="ru-RU" w:eastAsia="ru-RU"/>
              </w:rPr>
              <w:t>(3 466 710)</w:t>
            </w:r>
          </w:p>
        </w:tc>
      </w:tr>
      <w:tr w:rsidR="00215FC3" w:rsidRPr="000453ED" w:rsidTr="003C1AEA">
        <w:trPr>
          <w:trHeight w:val="215"/>
        </w:trPr>
        <w:tc>
          <w:tcPr>
            <w:tcW w:w="673" w:type="dxa"/>
            <w:hideMark/>
          </w:tcPr>
          <w:p w:rsidR="00215FC3" w:rsidRPr="000453ED" w:rsidRDefault="00215FC3" w:rsidP="005A54C0">
            <w:pPr>
              <w:jc w:val="center"/>
              <w:rPr>
                <w:lang w:val="ru-RU" w:eastAsia="ru-RU"/>
              </w:rPr>
            </w:pPr>
            <w:r w:rsidRPr="000453ED">
              <w:rPr>
                <w:lang w:val="ru-RU" w:eastAsia="ru-RU"/>
              </w:rPr>
              <w:t>6.1.</w:t>
            </w:r>
          </w:p>
        </w:tc>
        <w:tc>
          <w:tcPr>
            <w:tcW w:w="6423" w:type="dxa"/>
            <w:hideMark/>
          </w:tcPr>
          <w:p w:rsidR="00215FC3" w:rsidRPr="0029431B" w:rsidRDefault="0029431B" w:rsidP="00215FC3">
            <w:pPr>
              <w:rPr>
                <w:lang w:val="en-US" w:eastAsia="ru-RU"/>
              </w:rPr>
            </w:pPr>
            <w:r>
              <w:rPr>
                <w:lang w:val="en-US" w:eastAsia="ru-RU"/>
              </w:rPr>
              <w:t>F</w:t>
            </w:r>
            <w:r w:rsidRPr="00D83F05">
              <w:rPr>
                <w:lang w:val="en-US" w:eastAsia="ru-RU"/>
              </w:rPr>
              <w:t>ull</w:t>
            </w:r>
            <w:r w:rsidRPr="00DE1400">
              <w:rPr>
                <w:lang w:val="en-US" w:eastAsia="ru-RU"/>
              </w:rPr>
              <w:t xml:space="preserve"> </w:t>
            </w:r>
            <w:r w:rsidRPr="00D83F05">
              <w:rPr>
                <w:lang w:val="en-US" w:eastAsia="ru-RU"/>
              </w:rPr>
              <w:t>appreciated</w:t>
            </w:r>
            <w:r w:rsidRPr="00DE1400">
              <w:rPr>
                <w:lang w:val="en-US" w:eastAsia="ru-RU"/>
              </w:rPr>
              <w:t xml:space="preserve"> </w:t>
            </w:r>
            <w:r w:rsidRPr="00D83F05">
              <w:rPr>
                <w:lang w:val="en-US" w:eastAsia="ru-RU"/>
              </w:rPr>
              <w:t>profit</w:t>
            </w:r>
            <w:r w:rsidRPr="00DE1400">
              <w:rPr>
                <w:lang w:val="en-US" w:eastAsia="ru-RU"/>
              </w:rPr>
              <w:t xml:space="preserve"> </w:t>
            </w:r>
            <w:r>
              <w:rPr>
                <w:lang w:val="en-US" w:eastAsia="ru-RU"/>
              </w:rPr>
              <w:t>tax</w:t>
            </w:r>
            <w:r w:rsidRPr="00DE1400">
              <w:rPr>
                <w:lang w:val="en-US" w:eastAsia="ru-RU"/>
              </w:rPr>
              <w:t xml:space="preserve"> </w:t>
            </w:r>
            <w:r w:rsidRPr="00D83F05">
              <w:rPr>
                <w:lang w:val="en-US" w:eastAsia="ru-RU"/>
              </w:rPr>
              <w:t>of</w:t>
            </w:r>
            <w:r w:rsidRPr="00DE1400">
              <w:rPr>
                <w:lang w:val="en-US" w:eastAsia="ru-RU"/>
              </w:rPr>
              <w:t xml:space="preserve"> </w:t>
            </w:r>
            <w:r w:rsidRPr="00D83F05">
              <w:rPr>
                <w:lang w:val="en-US" w:eastAsia="ru-RU"/>
              </w:rPr>
              <w:t>previous</w:t>
            </w:r>
            <w:r w:rsidRPr="00DE1400">
              <w:rPr>
                <w:lang w:val="en-US" w:eastAsia="ru-RU"/>
              </w:rPr>
              <w:t xml:space="preserve"> </w:t>
            </w:r>
            <w:r w:rsidRPr="00D83F05">
              <w:rPr>
                <w:lang w:val="en-US" w:eastAsia="ru-RU"/>
              </w:rPr>
              <w:t>tax</w:t>
            </w:r>
            <w:r w:rsidRPr="00DE1400">
              <w:rPr>
                <w:lang w:val="en-US" w:eastAsia="ru-RU"/>
              </w:rPr>
              <w:t xml:space="preserve"> </w:t>
            </w:r>
            <w:r w:rsidRPr="00D83F05">
              <w:rPr>
                <w:lang w:val="en-US" w:eastAsia="ru-RU"/>
              </w:rPr>
              <w:t>periods</w:t>
            </w:r>
          </w:p>
        </w:tc>
        <w:tc>
          <w:tcPr>
            <w:tcW w:w="1186" w:type="dxa"/>
            <w:hideMark/>
          </w:tcPr>
          <w:p w:rsidR="00215FC3" w:rsidRPr="000453ED" w:rsidRDefault="00215FC3" w:rsidP="00215FC3">
            <w:pPr>
              <w:jc w:val="right"/>
              <w:rPr>
                <w:lang w:val="ru-RU" w:eastAsia="ru-RU"/>
              </w:rPr>
            </w:pPr>
            <w:r w:rsidRPr="000453ED">
              <w:rPr>
                <w:lang w:val="ru-RU" w:eastAsia="ru-RU"/>
              </w:rPr>
              <w:t>(</w:t>
            </w:r>
            <w:r>
              <w:rPr>
                <w:lang w:val="ru-RU" w:eastAsia="ru-RU"/>
              </w:rPr>
              <w:t>81 274</w:t>
            </w:r>
            <w:r w:rsidRPr="000453ED">
              <w:rPr>
                <w:lang w:val="ru-RU" w:eastAsia="ru-RU"/>
              </w:rPr>
              <w:t>)</w:t>
            </w:r>
          </w:p>
        </w:tc>
        <w:tc>
          <w:tcPr>
            <w:tcW w:w="1186" w:type="dxa"/>
          </w:tcPr>
          <w:p w:rsidR="00215FC3" w:rsidRPr="000453ED" w:rsidDel="003C1AEA" w:rsidRDefault="00215FC3" w:rsidP="00215FC3">
            <w:pPr>
              <w:jc w:val="right"/>
              <w:rPr>
                <w:lang w:val="ru-RU" w:eastAsia="ru-RU"/>
              </w:rPr>
            </w:pPr>
            <w:r w:rsidRPr="000453ED">
              <w:rPr>
                <w:lang w:val="ru-RU" w:eastAsia="ru-RU"/>
              </w:rPr>
              <w:t>(693 343)</w:t>
            </w:r>
          </w:p>
        </w:tc>
      </w:tr>
    </w:tbl>
    <w:p w:rsidR="00A1328E" w:rsidRPr="000453ED" w:rsidRDefault="00A1328E" w:rsidP="00A1328E">
      <w:pPr>
        <w:rPr>
          <w:lang w:val="ru-RU" w:eastAsia="ru-RU"/>
        </w:rPr>
      </w:pPr>
    </w:p>
    <w:p w:rsidR="006B7A95" w:rsidRDefault="006B7A95" w:rsidP="00A1328E">
      <w:pPr>
        <w:ind w:firstLine="709"/>
        <w:rPr>
          <w:sz w:val="24"/>
          <w:szCs w:val="24"/>
          <w:lang w:val="ru-RU" w:eastAsia="ru-RU"/>
        </w:rPr>
      </w:pPr>
    </w:p>
    <w:p w:rsidR="0042539D" w:rsidRDefault="0042539D" w:rsidP="00A1328E">
      <w:pPr>
        <w:ind w:firstLine="709"/>
        <w:rPr>
          <w:sz w:val="24"/>
          <w:szCs w:val="24"/>
          <w:lang w:val="ru-RU" w:eastAsia="ru-RU"/>
        </w:rPr>
      </w:pPr>
    </w:p>
    <w:p w:rsidR="0042539D" w:rsidRDefault="0042539D" w:rsidP="00A1328E">
      <w:pPr>
        <w:ind w:firstLine="709"/>
        <w:rPr>
          <w:sz w:val="24"/>
          <w:szCs w:val="24"/>
          <w:lang w:val="ru-RU" w:eastAsia="ru-RU"/>
        </w:rPr>
      </w:pPr>
    </w:p>
    <w:p w:rsidR="008041DF" w:rsidRPr="000453ED" w:rsidRDefault="008041DF" w:rsidP="00A1328E">
      <w:pPr>
        <w:ind w:firstLine="709"/>
        <w:rPr>
          <w:sz w:val="24"/>
          <w:szCs w:val="24"/>
          <w:lang w:val="ru-RU" w:eastAsia="ru-RU"/>
        </w:rPr>
      </w:pPr>
    </w:p>
    <w:p w:rsidR="00095771" w:rsidRDefault="00095771" w:rsidP="00A1328E">
      <w:pPr>
        <w:ind w:firstLine="709"/>
        <w:rPr>
          <w:sz w:val="24"/>
          <w:szCs w:val="24"/>
          <w:lang w:val="ru-RU" w:eastAsia="ru-RU"/>
        </w:rPr>
      </w:pPr>
    </w:p>
    <w:p w:rsidR="007D08A7" w:rsidRPr="000453ED" w:rsidRDefault="007D08A7" w:rsidP="00A1328E">
      <w:pPr>
        <w:ind w:firstLine="709"/>
        <w:rPr>
          <w:sz w:val="24"/>
          <w:szCs w:val="24"/>
          <w:lang w:val="ru-RU" w:eastAsia="ru-RU"/>
        </w:rPr>
      </w:pPr>
    </w:p>
    <w:p w:rsidR="00A1328E" w:rsidRPr="00EC0651" w:rsidRDefault="00EC0651" w:rsidP="00770100">
      <w:pPr>
        <w:ind w:firstLine="567"/>
        <w:rPr>
          <w:sz w:val="24"/>
          <w:szCs w:val="24"/>
          <w:lang w:val="en-US" w:eastAsia="ru-RU"/>
        </w:rPr>
      </w:pPr>
      <w:r w:rsidRPr="002B33A1">
        <w:rPr>
          <w:sz w:val="24"/>
          <w:szCs w:val="24"/>
          <w:lang w:val="en-US" w:eastAsia="ru-RU"/>
        </w:rPr>
        <w:t xml:space="preserve">The amount of the written off deferred tax asset was </w:t>
      </w:r>
      <w:r w:rsidR="009B2BBC" w:rsidRPr="00EC0651">
        <w:rPr>
          <w:sz w:val="24"/>
          <w:szCs w:val="24"/>
          <w:lang w:val="en-US" w:eastAsia="ru-RU"/>
        </w:rPr>
        <w:t>86 395</w:t>
      </w:r>
      <w:r w:rsidR="00A1328E" w:rsidRPr="00EC0651">
        <w:rPr>
          <w:sz w:val="24"/>
          <w:szCs w:val="24"/>
          <w:lang w:val="en-US" w:eastAsia="ru-RU"/>
        </w:rPr>
        <w:t xml:space="preserve"> </w:t>
      </w:r>
      <w:proofErr w:type="spellStart"/>
      <w:r w:rsidR="008F47BD" w:rsidRPr="00EC0651">
        <w:rPr>
          <w:sz w:val="24"/>
          <w:szCs w:val="24"/>
          <w:lang w:val="en-US" w:eastAsia="ru-RU"/>
        </w:rPr>
        <w:t>thous</w:t>
      </w:r>
      <w:proofErr w:type="spellEnd"/>
      <w:r w:rsidR="008F47BD" w:rsidRPr="00EC0651">
        <w:rPr>
          <w:sz w:val="24"/>
          <w:szCs w:val="24"/>
          <w:lang w:val="en-US" w:eastAsia="ru-RU"/>
        </w:rPr>
        <w:t>. RUB</w:t>
      </w:r>
      <w:r w:rsidR="00A1328E" w:rsidRPr="00EC0651">
        <w:rPr>
          <w:sz w:val="24"/>
          <w:szCs w:val="24"/>
          <w:lang w:val="en-US" w:eastAsia="ru-RU"/>
        </w:rPr>
        <w:t xml:space="preserve">, </w:t>
      </w:r>
      <w:r w:rsidRPr="00DE1400">
        <w:rPr>
          <w:sz w:val="24"/>
          <w:szCs w:val="24"/>
          <w:lang w:val="en-US" w:eastAsia="ru-RU"/>
        </w:rPr>
        <w:t>including</w:t>
      </w:r>
      <w:r w:rsidR="00A1328E" w:rsidRPr="00EC0651">
        <w:rPr>
          <w:sz w:val="24"/>
          <w:szCs w:val="24"/>
          <w:lang w:val="en-US" w:eastAsia="ru-RU"/>
        </w:rPr>
        <w:t>:</w:t>
      </w:r>
      <w:r w:rsidR="00A1328E" w:rsidRPr="00EC0651">
        <w:rPr>
          <w:sz w:val="24"/>
          <w:szCs w:val="24"/>
          <w:lang w:val="en-US" w:eastAsia="ru-RU"/>
        </w:rPr>
        <w:tab/>
      </w:r>
      <w:r w:rsidR="00A1328E" w:rsidRPr="00EC0651">
        <w:rPr>
          <w:sz w:val="24"/>
          <w:szCs w:val="24"/>
          <w:lang w:val="en-US" w:eastAsia="ru-RU"/>
        </w:rPr>
        <w:tab/>
      </w:r>
      <w:r w:rsidR="00A1328E" w:rsidRPr="00EC0651">
        <w:rPr>
          <w:sz w:val="24"/>
          <w:szCs w:val="24"/>
          <w:lang w:val="en-US" w:eastAsia="ru-RU"/>
        </w:rPr>
        <w:tab/>
      </w:r>
    </w:p>
    <w:p w:rsidR="007D08A7" w:rsidRPr="00EC0651" w:rsidRDefault="00407010" w:rsidP="00E37AB5">
      <w:pPr>
        <w:pStyle w:val="ab"/>
        <w:numPr>
          <w:ilvl w:val="0"/>
          <w:numId w:val="10"/>
        </w:numPr>
        <w:rPr>
          <w:sz w:val="24"/>
          <w:szCs w:val="24"/>
          <w:lang w:val="en-US" w:eastAsia="ru-RU"/>
        </w:rPr>
      </w:pPr>
      <w:r w:rsidRPr="00726828">
        <w:rPr>
          <w:sz w:val="24"/>
          <w:szCs w:val="24"/>
          <w:lang w:val="en-US" w:eastAsia="ru-RU"/>
        </w:rPr>
        <w:lastRenderedPageBreak/>
        <w:t xml:space="preserve">86 597 </w:t>
      </w:r>
      <w:proofErr w:type="spellStart"/>
      <w:r w:rsidR="008F47BD" w:rsidRPr="00726828">
        <w:rPr>
          <w:sz w:val="24"/>
          <w:szCs w:val="24"/>
          <w:lang w:val="en-US" w:eastAsia="ru-RU"/>
        </w:rPr>
        <w:t>thous</w:t>
      </w:r>
      <w:proofErr w:type="spellEnd"/>
      <w:r w:rsidR="008F47BD" w:rsidRPr="00726828">
        <w:rPr>
          <w:sz w:val="24"/>
          <w:szCs w:val="24"/>
          <w:lang w:val="en-US" w:eastAsia="ru-RU"/>
        </w:rPr>
        <w:t xml:space="preserve">. </w:t>
      </w:r>
      <w:r w:rsidR="008F47BD" w:rsidRPr="00EC0651">
        <w:rPr>
          <w:sz w:val="24"/>
          <w:szCs w:val="24"/>
          <w:lang w:val="en-US" w:eastAsia="ru-RU"/>
        </w:rPr>
        <w:t>RUB</w:t>
      </w:r>
      <w:r w:rsidRPr="00EC0651">
        <w:rPr>
          <w:sz w:val="24"/>
          <w:szCs w:val="24"/>
          <w:lang w:val="en-US" w:eastAsia="ru-RU"/>
        </w:rPr>
        <w:t xml:space="preserve"> – </w:t>
      </w:r>
      <w:r w:rsidR="00EC0651" w:rsidRPr="007246C5">
        <w:rPr>
          <w:sz w:val="24"/>
          <w:szCs w:val="24"/>
          <w:lang w:val="en-US" w:eastAsia="ru-RU"/>
        </w:rPr>
        <w:t xml:space="preserve">from write off </w:t>
      </w:r>
      <w:r w:rsidR="00EC0651">
        <w:rPr>
          <w:sz w:val="24"/>
          <w:szCs w:val="24"/>
          <w:lang w:val="en-US" w:eastAsia="ru-RU"/>
        </w:rPr>
        <w:t xml:space="preserve">of </w:t>
      </w:r>
      <w:r w:rsidR="00EC0651" w:rsidRPr="007246C5">
        <w:rPr>
          <w:sz w:val="24"/>
          <w:szCs w:val="24"/>
          <w:lang w:val="en-US" w:eastAsia="ru-RU"/>
        </w:rPr>
        <w:t>assessed reserves</w:t>
      </w:r>
      <w:r w:rsidRPr="00EC0651">
        <w:rPr>
          <w:sz w:val="24"/>
          <w:szCs w:val="24"/>
          <w:lang w:val="en-US" w:eastAsia="ru-RU"/>
        </w:rPr>
        <w:t>;</w:t>
      </w:r>
    </w:p>
    <w:p w:rsidR="007D08A7" w:rsidRPr="00EC0651" w:rsidRDefault="009B2BBC" w:rsidP="00E37AB5">
      <w:pPr>
        <w:pStyle w:val="ab"/>
        <w:numPr>
          <w:ilvl w:val="0"/>
          <w:numId w:val="10"/>
        </w:numPr>
        <w:rPr>
          <w:sz w:val="24"/>
          <w:szCs w:val="24"/>
          <w:lang w:val="en-US" w:eastAsia="ru-RU"/>
        </w:rPr>
      </w:pPr>
      <w:r w:rsidRPr="00726828">
        <w:rPr>
          <w:sz w:val="24"/>
          <w:szCs w:val="24"/>
          <w:lang w:val="en-US" w:eastAsia="ru-RU"/>
        </w:rPr>
        <w:t>119</w:t>
      </w:r>
      <w:r w:rsidR="00A1328E" w:rsidRPr="00726828">
        <w:rPr>
          <w:sz w:val="24"/>
          <w:szCs w:val="24"/>
          <w:lang w:val="en-US" w:eastAsia="ru-RU"/>
        </w:rPr>
        <w:t xml:space="preserve"> </w:t>
      </w:r>
      <w:proofErr w:type="spellStart"/>
      <w:r w:rsidR="008F47BD" w:rsidRPr="00726828">
        <w:rPr>
          <w:sz w:val="24"/>
          <w:szCs w:val="24"/>
          <w:lang w:val="en-US" w:eastAsia="ru-RU"/>
        </w:rPr>
        <w:t>thous</w:t>
      </w:r>
      <w:proofErr w:type="spellEnd"/>
      <w:r w:rsidR="008F47BD" w:rsidRPr="00726828">
        <w:rPr>
          <w:sz w:val="24"/>
          <w:szCs w:val="24"/>
          <w:lang w:val="en-US" w:eastAsia="ru-RU"/>
        </w:rPr>
        <w:t xml:space="preserve">. </w:t>
      </w:r>
      <w:r w:rsidR="008F47BD" w:rsidRPr="00EC0651">
        <w:rPr>
          <w:sz w:val="24"/>
          <w:szCs w:val="24"/>
          <w:lang w:val="en-US" w:eastAsia="ru-RU"/>
        </w:rPr>
        <w:t>RUB</w:t>
      </w:r>
      <w:r w:rsidR="00A1328E" w:rsidRPr="00EC0651">
        <w:rPr>
          <w:sz w:val="24"/>
          <w:szCs w:val="24"/>
          <w:lang w:val="en-US" w:eastAsia="ru-RU"/>
        </w:rPr>
        <w:t xml:space="preserve"> – </w:t>
      </w:r>
      <w:r w:rsidR="00EC0651" w:rsidRPr="007246C5">
        <w:rPr>
          <w:sz w:val="24"/>
          <w:szCs w:val="24"/>
          <w:lang w:val="en-US" w:eastAsia="ru-RU"/>
        </w:rPr>
        <w:t>from liquidation of fixed assets</w:t>
      </w:r>
      <w:r w:rsidR="00A1328E" w:rsidRPr="00EC0651">
        <w:rPr>
          <w:sz w:val="24"/>
          <w:szCs w:val="24"/>
          <w:lang w:val="en-US" w:eastAsia="ru-RU"/>
        </w:rPr>
        <w:t>;</w:t>
      </w:r>
      <w:r w:rsidR="00A1328E" w:rsidRPr="00EC0651">
        <w:rPr>
          <w:sz w:val="24"/>
          <w:szCs w:val="24"/>
          <w:lang w:val="en-US" w:eastAsia="ru-RU"/>
        </w:rPr>
        <w:tab/>
      </w:r>
      <w:r w:rsidR="00A1328E" w:rsidRPr="00EC0651">
        <w:rPr>
          <w:sz w:val="24"/>
          <w:szCs w:val="24"/>
          <w:lang w:val="en-US" w:eastAsia="ru-RU"/>
        </w:rPr>
        <w:tab/>
      </w:r>
      <w:r w:rsidR="00A1328E" w:rsidRPr="00EC0651">
        <w:rPr>
          <w:sz w:val="24"/>
          <w:szCs w:val="24"/>
          <w:lang w:val="en-US" w:eastAsia="ru-RU"/>
        </w:rPr>
        <w:tab/>
      </w:r>
    </w:p>
    <w:p w:rsidR="00A1328E" w:rsidRPr="007D08A7" w:rsidRDefault="009B2BBC" w:rsidP="00E37AB5">
      <w:pPr>
        <w:pStyle w:val="ab"/>
        <w:numPr>
          <w:ilvl w:val="0"/>
          <w:numId w:val="10"/>
        </w:numPr>
        <w:rPr>
          <w:sz w:val="24"/>
          <w:szCs w:val="24"/>
          <w:lang w:val="ru-RU" w:eastAsia="ru-RU"/>
        </w:rPr>
      </w:pPr>
      <w:r w:rsidRPr="007D08A7">
        <w:rPr>
          <w:sz w:val="24"/>
          <w:szCs w:val="24"/>
          <w:lang w:val="ru-RU" w:eastAsia="ru-RU"/>
        </w:rPr>
        <w:t>(321)</w:t>
      </w:r>
      <w:r w:rsidR="00A1328E" w:rsidRPr="007D08A7">
        <w:rPr>
          <w:sz w:val="24"/>
          <w:szCs w:val="24"/>
          <w:lang w:val="ru-RU" w:eastAsia="ru-RU"/>
        </w:rPr>
        <w:t xml:space="preserve"> </w:t>
      </w:r>
      <w:proofErr w:type="spellStart"/>
      <w:r w:rsidR="008F47BD">
        <w:rPr>
          <w:sz w:val="24"/>
          <w:szCs w:val="24"/>
          <w:lang w:val="ru-RU" w:eastAsia="ru-RU"/>
        </w:rPr>
        <w:t>thous</w:t>
      </w:r>
      <w:proofErr w:type="spellEnd"/>
      <w:r w:rsidR="008F47BD">
        <w:rPr>
          <w:sz w:val="24"/>
          <w:szCs w:val="24"/>
          <w:lang w:val="ru-RU" w:eastAsia="ru-RU"/>
        </w:rPr>
        <w:t>. RUB</w:t>
      </w:r>
      <w:r w:rsidR="00A1328E" w:rsidRPr="007D08A7">
        <w:rPr>
          <w:sz w:val="24"/>
          <w:szCs w:val="24"/>
          <w:lang w:val="ru-RU" w:eastAsia="ru-RU"/>
        </w:rPr>
        <w:t xml:space="preserve"> – </w:t>
      </w:r>
      <w:r w:rsidR="00EC0651">
        <w:rPr>
          <w:sz w:val="24"/>
          <w:szCs w:val="24"/>
          <w:lang w:val="en-US" w:eastAsia="ru-RU"/>
        </w:rPr>
        <w:t>other</w:t>
      </w:r>
      <w:r w:rsidR="00A1328E" w:rsidRPr="007D08A7">
        <w:rPr>
          <w:sz w:val="24"/>
          <w:szCs w:val="24"/>
          <w:lang w:val="ru-RU" w:eastAsia="ru-RU"/>
        </w:rPr>
        <w:t>.</w:t>
      </w:r>
      <w:r w:rsidR="00A1328E" w:rsidRPr="007D08A7">
        <w:rPr>
          <w:sz w:val="24"/>
          <w:szCs w:val="24"/>
          <w:lang w:val="ru-RU" w:eastAsia="ru-RU"/>
        </w:rPr>
        <w:tab/>
      </w:r>
      <w:r w:rsidR="00A1328E" w:rsidRPr="007D08A7">
        <w:rPr>
          <w:sz w:val="24"/>
          <w:szCs w:val="24"/>
          <w:lang w:val="ru-RU" w:eastAsia="ru-RU"/>
        </w:rPr>
        <w:tab/>
      </w:r>
      <w:r w:rsidR="00A1328E" w:rsidRPr="007D08A7">
        <w:rPr>
          <w:sz w:val="24"/>
          <w:szCs w:val="24"/>
          <w:lang w:val="ru-RU" w:eastAsia="ru-RU"/>
        </w:rPr>
        <w:tab/>
      </w:r>
    </w:p>
    <w:p w:rsidR="00A1328E" w:rsidRPr="007D08A7" w:rsidRDefault="00A1328E" w:rsidP="00A1328E">
      <w:pPr>
        <w:rPr>
          <w:sz w:val="24"/>
          <w:szCs w:val="24"/>
          <w:lang w:val="ru-RU" w:eastAsia="ru-RU"/>
        </w:rPr>
      </w:pPr>
      <w:r w:rsidRPr="007D08A7">
        <w:rPr>
          <w:sz w:val="24"/>
          <w:szCs w:val="24"/>
          <w:lang w:val="ru-RU" w:eastAsia="ru-RU"/>
        </w:rPr>
        <w:tab/>
      </w:r>
      <w:r w:rsidRPr="007D08A7">
        <w:rPr>
          <w:sz w:val="24"/>
          <w:szCs w:val="24"/>
          <w:lang w:val="ru-RU" w:eastAsia="ru-RU"/>
        </w:rPr>
        <w:tab/>
      </w:r>
      <w:r w:rsidRPr="007D08A7">
        <w:rPr>
          <w:sz w:val="24"/>
          <w:szCs w:val="24"/>
          <w:lang w:val="ru-RU" w:eastAsia="ru-RU"/>
        </w:rPr>
        <w:tab/>
      </w:r>
    </w:p>
    <w:p w:rsidR="00A1328E" w:rsidRPr="00FD3886" w:rsidRDefault="00FD3886" w:rsidP="004034FB">
      <w:pPr>
        <w:ind w:firstLine="567"/>
        <w:jc w:val="both"/>
        <w:rPr>
          <w:sz w:val="24"/>
          <w:szCs w:val="24"/>
          <w:lang w:val="en-US" w:eastAsia="ru-RU"/>
        </w:rPr>
      </w:pPr>
      <w:r w:rsidRPr="00D30EF1">
        <w:rPr>
          <w:sz w:val="24"/>
          <w:szCs w:val="24"/>
          <w:lang w:val="en-US" w:eastAsia="ru-RU"/>
        </w:rPr>
        <w:t xml:space="preserve">The amount of written-off deferred tax liabilities </w:t>
      </w:r>
      <w:r>
        <w:rPr>
          <w:sz w:val="24"/>
          <w:szCs w:val="24"/>
          <w:lang w:val="en-US" w:eastAsia="ru-RU"/>
        </w:rPr>
        <w:t xml:space="preserve">was </w:t>
      </w:r>
      <w:r w:rsidR="009B2BBC" w:rsidRPr="00FD3886">
        <w:rPr>
          <w:sz w:val="24"/>
          <w:szCs w:val="24"/>
          <w:lang w:val="en-US" w:eastAsia="ru-RU"/>
        </w:rPr>
        <w:t>7 101</w:t>
      </w:r>
      <w:r w:rsidR="00A1328E" w:rsidRPr="00FD3886">
        <w:rPr>
          <w:sz w:val="24"/>
          <w:szCs w:val="24"/>
          <w:lang w:val="en-US" w:eastAsia="ru-RU"/>
        </w:rPr>
        <w:t xml:space="preserve"> </w:t>
      </w:r>
      <w:proofErr w:type="spellStart"/>
      <w:r w:rsidR="008F47BD" w:rsidRPr="00FD3886">
        <w:rPr>
          <w:sz w:val="24"/>
          <w:szCs w:val="24"/>
          <w:lang w:val="en-US" w:eastAsia="ru-RU"/>
        </w:rPr>
        <w:t>thous</w:t>
      </w:r>
      <w:proofErr w:type="spellEnd"/>
      <w:r w:rsidR="008F47BD" w:rsidRPr="00FD3886">
        <w:rPr>
          <w:sz w:val="24"/>
          <w:szCs w:val="24"/>
          <w:lang w:val="en-US" w:eastAsia="ru-RU"/>
        </w:rPr>
        <w:t>. RUB</w:t>
      </w:r>
      <w:r w:rsidR="00A1328E" w:rsidRPr="00FD3886">
        <w:rPr>
          <w:sz w:val="24"/>
          <w:szCs w:val="24"/>
          <w:lang w:val="en-US" w:eastAsia="ru-RU"/>
        </w:rPr>
        <w:t xml:space="preserve">, </w:t>
      </w:r>
      <w:proofErr w:type="spellStart"/>
      <w:r>
        <w:rPr>
          <w:sz w:val="24"/>
          <w:szCs w:val="24"/>
          <w:lang w:val="ru-RU" w:eastAsia="ru-RU"/>
        </w:rPr>
        <w:t>including</w:t>
      </w:r>
      <w:proofErr w:type="spellEnd"/>
      <w:r w:rsidR="00A1328E" w:rsidRPr="00FD3886">
        <w:rPr>
          <w:sz w:val="24"/>
          <w:szCs w:val="24"/>
          <w:lang w:val="en-US" w:eastAsia="ru-RU"/>
        </w:rPr>
        <w:t>:</w:t>
      </w:r>
      <w:r w:rsidR="00A1328E" w:rsidRPr="00FD3886">
        <w:rPr>
          <w:sz w:val="24"/>
          <w:szCs w:val="24"/>
          <w:lang w:val="en-US" w:eastAsia="ru-RU"/>
        </w:rPr>
        <w:tab/>
      </w:r>
      <w:r w:rsidR="00A1328E" w:rsidRPr="00FD3886">
        <w:rPr>
          <w:sz w:val="24"/>
          <w:szCs w:val="24"/>
          <w:lang w:val="en-US" w:eastAsia="ru-RU"/>
        </w:rPr>
        <w:tab/>
      </w:r>
      <w:r w:rsidR="00A1328E" w:rsidRPr="00FD3886">
        <w:rPr>
          <w:sz w:val="24"/>
          <w:szCs w:val="24"/>
          <w:lang w:val="en-US" w:eastAsia="ru-RU"/>
        </w:rPr>
        <w:tab/>
      </w:r>
    </w:p>
    <w:p w:rsidR="00A1328E" w:rsidRPr="00502F72" w:rsidRDefault="009B2BBC" w:rsidP="00E37AB5">
      <w:pPr>
        <w:pStyle w:val="ab"/>
        <w:numPr>
          <w:ilvl w:val="0"/>
          <w:numId w:val="4"/>
        </w:numPr>
        <w:jc w:val="both"/>
        <w:rPr>
          <w:sz w:val="24"/>
          <w:szCs w:val="24"/>
          <w:lang w:val="en-US" w:eastAsia="ru-RU"/>
        </w:rPr>
      </w:pPr>
      <w:r w:rsidRPr="00726828">
        <w:rPr>
          <w:sz w:val="24"/>
          <w:szCs w:val="24"/>
          <w:lang w:val="en-US" w:eastAsia="ru-RU"/>
        </w:rPr>
        <w:t>5 410</w:t>
      </w:r>
      <w:r w:rsidR="00A1328E" w:rsidRPr="00726828">
        <w:rPr>
          <w:sz w:val="24"/>
          <w:szCs w:val="24"/>
          <w:lang w:val="en-US" w:eastAsia="ru-RU"/>
        </w:rPr>
        <w:t xml:space="preserve"> </w:t>
      </w:r>
      <w:proofErr w:type="spellStart"/>
      <w:r w:rsidR="008F47BD" w:rsidRPr="00726828">
        <w:rPr>
          <w:sz w:val="24"/>
          <w:szCs w:val="24"/>
          <w:lang w:val="en-US" w:eastAsia="ru-RU"/>
        </w:rPr>
        <w:t>thous</w:t>
      </w:r>
      <w:proofErr w:type="spellEnd"/>
      <w:r w:rsidR="008F47BD" w:rsidRPr="00726828">
        <w:rPr>
          <w:sz w:val="24"/>
          <w:szCs w:val="24"/>
          <w:lang w:val="en-US" w:eastAsia="ru-RU"/>
        </w:rPr>
        <w:t xml:space="preserve">. </w:t>
      </w:r>
      <w:r w:rsidR="008F47BD" w:rsidRPr="00502F72">
        <w:rPr>
          <w:sz w:val="24"/>
          <w:szCs w:val="24"/>
          <w:lang w:val="en-US" w:eastAsia="ru-RU"/>
        </w:rPr>
        <w:t>RUB</w:t>
      </w:r>
      <w:r w:rsidR="00A1328E" w:rsidRPr="00502F72">
        <w:rPr>
          <w:sz w:val="24"/>
          <w:szCs w:val="24"/>
          <w:lang w:val="en-US" w:eastAsia="ru-RU"/>
        </w:rPr>
        <w:t xml:space="preserve"> – </w:t>
      </w:r>
      <w:r w:rsidR="00502F72" w:rsidRPr="00751CC3">
        <w:rPr>
          <w:sz w:val="24"/>
          <w:szCs w:val="24"/>
          <w:lang w:val="en-US" w:eastAsia="ru-RU"/>
        </w:rPr>
        <w:t>recalculation of tax liability for previous tax periods for fixed assets</w:t>
      </w:r>
      <w:r w:rsidR="00A1328E" w:rsidRPr="00502F72">
        <w:rPr>
          <w:sz w:val="24"/>
          <w:szCs w:val="24"/>
          <w:lang w:val="en-US" w:eastAsia="ru-RU"/>
        </w:rPr>
        <w:t>;</w:t>
      </w:r>
    </w:p>
    <w:p w:rsidR="00A1328E" w:rsidRPr="00502F72" w:rsidRDefault="0048550B" w:rsidP="00E37AB5">
      <w:pPr>
        <w:pStyle w:val="ab"/>
        <w:numPr>
          <w:ilvl w:val="0"/>
          <w:numId w:val="4"/>
        </w:numPr>
        <w:jc w:val="both"/>
        <w:rPr>
          <w:sz w:val="24"/>
          <w:szCs w:val="24"/>
          <w:lang w:val="en-US" w:eastAsia="ru-RU"/>
        </w:rPr>
      </w:pPr>
      <w:r w:rsidRPr="00726828">
        <w:rPr>
          <w:sz w:val="24"/>
          <w:szCs w:val="24"/>
          <w:lang w:val="en-US" w:eastAsia="ru-RU"/>
        </w:rPr>
        <w:t>1</w:t>
      </w:r>
      <w:r w:rsidR="009B2BBC" w:rsidRPr="00726828">
        <w:rPr>
          <w:sz w:val="24"/>
          <w:szCs w:val="24"/>
          <w:lang w:val="en-US" w:eastAsia="ru-RU"/>
        </w:rPr>
        <w:t xml:space="preserve"> 274</w:t>
      </w:r>
      <w:r w:rsidR="00A1328E" w:rsidRPr="00726828">
        <w:rPr>
          <w:sz w:val="24"/>
          <w:szCs w:val="24"/>
          <w:lang w:val="en-US" w:eastAsia="ru-RU"/>
        </w:rPr>
        <w:t xml:space="preserve"> </w:t>
      </w:r>
      <w:proofErr w:type="spellStart"/>
      <w:r w:rsidR="008F47BD" w:rsidRPr="00726828">
        <w:rPr>
          <w:sz w:val="24"/>
          <w:szCs w:val="24"/>
          <w:lang w:val="en-US" w:eastAsia="ru-RU"/>
        </w:rPr>
        <w:t>thous</w:t>
      </w:r>
      <w:proofErr w:type="spellEnd"/>
      <w:r w:rsidR="008F47BD" w:rsidRPr="00726828">
        <w:rPr>
          <w:sz w:val="24"/>
          <w:szCs w:val="24"/>
          <w:lang w:val="en-US" w:eastAsia="ru-RU"/>
        </w:rPr>
        <w:t xml:space="preserve">. </w:t>
      </w:r>
      <w:r w:rsidR="008F47BD" w:rsidRPr="00502F72">
        <w:rPr>
          <w:sz w:val="24"/>
          <w:szCs w:val="24"/>
          <w:lang w:val="en-US" w:eastAsia="ru-RU"/>
        </w:rPr>
        <w:t>RUB</w:t>
      </w:r>
      <w:r w:rsidR="00A1328E" w:rsidRPr="00502F72">
        <w:rPr>
          <w:sz w:val="24"/>
          <w:szCs w:val="24"/>
          <w:lang w:val="en-US" w:eastAsia="ru-RU"/>
        </w:rPr>
        <w:t xml:space="preserve"> – </w:t>
      </w:r>
      <w:r w:rsidR="00502F72" w:rsidRPr="00751CC3">
        <w:rPr>
          <w:sz w:val="24"/>
          <w:szCs w:val="24"/>
          <w:lang w:val="en-US" w:eastAsia="ru-RU"/>
        </w:rPr>
        <w:t>from write-off or sale of protective special gear</w:t>
      </w:r>
      <w:r w:rsidR="00A1328E" w:rsidRPr="00502F72">
        <w:rPr>
          <w:sz w:val="24"/>
          <w:szCs w:val="24"/>
          <w:lang w:val="en-US" w:eastAsia="ru-RU"/>
        </w:rPr>
        <w:t>;</w:t>
      </w:r>
      <w:r w:rsidR="00A1328E" w:rsidRPr="00502F72">
        <w:rPr>
          <w:sz w:val="24"/>
          <w:szCs w:val="24"/>
          <w:lang w:val="en-US" w:eastAsia="ru-RU"/>
        </w:rPr>
        <w:tab/>
      </w:r>
      <w:r w:rsidR="00A1328E" w:rsidRPr="00502F72">
        <w:rPr>
          <w:sz w:val="24"/>
          <w:szCs w:val="24"/>
          <w:lang w:val="en-US" w:eastAsia="ru-RU"/>
        </w:rPr>
        <w:tab/>
      </w:r>
      <w:r w:rsidR="00A1328E" w:rsidRPr="00502F72">
        <w:rPr>
          <w:sz w:val="24"/>
          <w:szCs w:val="24"/>
          <w:lang w:val="en-US" w:eastAsia="ru-RU"/>
        </w:rPr>
        <w:tab/>
      </w:r>
    </w:p>
    <w:p w:rsidR="00A1328E" w:rsidRPr="007D08A7" w:rsidRDefault="009B2BBC" w:rsidP="00E37AB5">
      <w:pPr>
        <w:pStyle w:val="ab"/>
        <w:numPr>
          <w:ilvl w:val="0"/>
          <w:numId w:val="4"/>
        </w:numPr>
        <w:jc w:val="both"/>
        <w:rPr>
          <w:sz w:val="24"/>
          <w:szCs w:val="24"/>
          <w:lang w:val="ru-RU"/>
        </w:rPr>
      </w:pPr>
      <w:r w:rsidRPr="007D08A7">
        <w:rPr>
          <w:sz w:val="24"/>
          <w:szCs w:val="24"/>
          <w:lang w:val="ru-RU" w:eastAsia="ru-RU"/>
        </w:rPr>
        <w:t>417</w:t>
      </w:r>
      <w:r w:rsidR="00A1328E" w:rsidRPr="007D08A7">
        <w:rPr>
          <w:sz w:val="24"/>
          <w:szCs w:val="24"/>
          <w:lang w:val="ru-RU" w:eastAsia="ru-RU"/>
        </w:rPr>
        <w:t xml:space="preserve"> </w:t>
      </w:r>
      <w:proofErr w:type="spellStart"/>
      <w:r w:rsidR="008F47BD">
        <w:rPr>
          <w:sz w:val="24"/>
          <w:szCs w:val="24"/>
          <w:lang w:val="ru-RU" w:eastAsia="ru-RU"/>
        </w:rPr>
        <w:t>thous</w:t>
      </w:r>
      <w:proofErr w:type="spellEnd"/>
      <w:r w:rsidR="008F47BD">
        <w:rPr>
          <w:sz w:val="24"/>
          <w:szCs w:val="24"/>
          <w:lang w:val="ru-RU" w:eastAsia="ru-RU"/>
        </w:rPr>
        <w:t>. RUB</w:t>
      </w:r>
      <w:r w:rsidR="00A1328E" w:rsidRPr="007D08A7">
        <w:rPr>
          <w:sz w:val="24"/>
          <w:szCs w:val="24"/>
          <w:lang w:val="ru-RU" w:eastAsia="ru-RU"/>
        </w:rPr>
        <w:t xml:space="preserve"> – </w:t>
      </w:r>
      <w:proofErr w:type="spellStart"/>
      <w:r w:rsidR="00027F98">
        <w:rPr>
          <w:sz w:val="24"/>
          <w:szCs w:val="24"/>
          <w:lang w:val="ru-RU" w:eastAsia="ru-RU"/>
        </w:rPr>
        <w:t>other</w:t>
      </w:r>
      <w:proofErr w:type="spellEnd"/>
      <w:r w:rsidR="00027F98">
        <w:rPr>
          <w:sz w:val="24"/>
          <w:szCs w:val="24"/>
          <w:lang w:val="ru-RU" w:eastAsia="ru-RU"/>
        </w:rPr>
        <w:t>.</w:t>
      </w:r>
      <w:r w:rsidR="00A1328E" w:rsidRPr="007D08A7">
        <w:rPr>
          <w:sz w:val="24"/>
          <w:szCs w:val="24"/>
          <w:lang w:val="ru-RU" w:eastAsia="ru-RU"/>
        </w:rPr>
        <w:tab/>
      </w:r>
      <w:r w:rsidR="00A1328E" w:rsidRPr="007D08A7">
        <w:rPr>
          <w:sz w:val="24"/>
          <w:szCs w:val="24"/>
          <w:lang w:val="ru-RU"/>
        </w:rPr>
        <w:tab/>
      </w:r>
    </w:p>
    <w:p w:rsidR="00A1328E" w:rsidRDefault="00A1328E" w:rsidP="00C60265">
      <w:pPr>
        <w:ind w:firstLine="709"/>
        <w:rPr>
          <w:sz w:val="24"/>
          <w:szCs w:val="24"/>
          <w:lang w:val="ru-RU" w:eastAsia="ru-RU"/>
        </w:rPr>
      </w:pPr>
    </w:p>
    <w:p w:rsidR="008041DF" w:rsidRPr="007D08A7" w:rsidRDefault="008041DF" w:rsidP="00C60265">
      <w:pPr>
        <w:ind w:firstLine="709"/>
        <w:rPr>
          <w:sz w:val="24"/>
          <w:szCs w:val="24"/>
          <w:lang w:val="ru-RU" w:eastAsia="ru-RU"/>
        </w:rPr>
      </w:pPr>
    </w:p>
    <w:p w:rsidR="0047254F" w:rsidRPr="00F129EB" w:rsidRDefault="00F129EB" w:rsidP="00C60265">
      <w:pPr>
        <w:pStyle w:val="8"/>
        <w:rPr>
          <w:lang w:val="en-US"/>
        </w:rPr>
      </w:pPr>
      <w:r w:rsidRPr="00751CC3">
        <w:rPr>
          <w:lang w:val="en-US"/>
        </w:rPr>
        <w:t>Information on participation in joint activity</w:t>
      </w:r>
    </w:p>
    <w:p w:rsidR="0047254F" w:rsidRPr="00F129EB" w:rsidRDefault="0047254F" w:rsidP="00DF723E">
      <w:pPr>
        <w:shd w:val="clear" w:color="auto" w:fill="FFFFFF"/>
        <w:spacing w:line="180" w:lineRule="atLeast"/>
        <w:ind w:firstLine="709"/>
        <w:jc w:val="both"/>
        <w:rPr>
          <w:rFonts w:ascii="13" w:hAnsi="13"/>
          <w:sz w:val="24"/>
          <w:szCs w:val="24"/>
          <w:lang w:val="en-US"/>
        </w:rPr>
      </w:pPr>
    </w:p>
    <w:p w:rsidR="0047254F" w:rsidRPr="00F129EB" w:rsidRDefault="00F129EB" w:rsidP="008B3678">
      <w:pPr>
        <w:ind w:firstLine="709"/>
        <w:rPr>
          <w:sz w:val="24"/>
          <w:szCs w:val="24"/>
          <w:lang w:val="en-US" w:eastAsia="ru-RU"/>
        </w:rPr>
      </w:pPr>
      <w:r w:rsidRPr="00751CC3">
        <w:rPr>
          <w:sz w:val="24"/>
          <w:szCs w:val="24"/>
          <w:lang w:val="en-US" w:eastAsia="ru-RU"/>
        </w:rPr>
        <w:t>The Company did not participate in any joint activity</w:t>
      </w:r>
      <w:r w:rsidR="0047254F" w:rsidRPr="00F129EB">
        <w:rPr>
          <w:sz w:val="24"/>
          <w:szCs w:val="24"/>
          <w:lang w:val="en-US" w:eastAsia="ru-RU"/>
        </w:rPr>
        <w:t>.</w:t>
      </w:r>
    </w:p>
    <w:p w:rsidR="00857A24" w:rsidRPr="00F129EB" w:rsidRDefault="00857A24" w:rsidP="008B3678">
      <w:pPr>
        <w:ind w:firstLine="709"/>
        <w:rPr>
          <w:sz w:val="24"/>
          <w:szCs w:val="24"/>
          <w:lang w:val="en-US" w:eastAsia="ru-RU"/>
        </w:rPr>
      </w:pPr>
    </w:p>
    <w:p w:rsidR="008041DF" w:rsidRPr="00F129EB" w:rsidRDefault="008041DF" w:rsidP="008B3678">
      <w:pPr>
        <w:ind w:firstLine="709"/>
        <w:rPr>
          <w:sz w:val="24"/>
          <w:szCs w:val="24"/>
          <w:lang w:val="en-US" w:eastAsia="ru-RU"/>
        </w:rPr>
      </w:pPr>
    </w:p>
    <w:p w:rsidR="00857A24" w:rsidRPr="007D08A7" w:rsidRDefault="00F129EB" w:rsidP="00C60265">
      <w:pPr>
        <w:pStyle w:val="8"/>
      </w:pPr>
      <w:r>
        <w:rPr>
          <w:lang w:val="en-US"/>
        </w:rPr>
        <w:t>Capital</w:t>
      </w:r>
    </w:p>
    <w:p w:rsidR="00857A24" w:rsidRPr="007D08A7" w:rsidRDefault="00857A24" w:rsidP="00DF723E">
      <w:pPr>
        <w:shd w:val="clear" w:color="auto" w:fill="FFFFFF"/>
        <w:spacing w:line="180" w:lineRule="atLeast"/>
        <w:ind w:firstLine="709"/>
        <w:jc w:val="both"/>
        <w:rPr>
          <w:rFonts w:ascii="13" w:hAnsi="13"/>
          <w:sz w:val="24"/>
          <w:szCs w:val="24"/>
          <w:lang w:val="ru-RU"/>
        </w:rPr>
      </w:pPr>
    </w:p>
    <w:p w:rsidR="00857A24" w:rsidRPr="00D946B9" w:rsidRDefault="00D946B9" w:rsidP="00770100">
      <w:pPr>
        <w:spacing w:after="120"/>
        <w:ind w:firstLine="709"/>
        <w:rPr>
          <w:rFonts w:ascii="13" w:hAnsi="13"/>
          <w:sz w:val="24"/>
          <w:szCs w:val="24"/>
          <w:lang w:val="en-US"/>
        </w:rPr>
      </w:pPr>
      <w:r w:rsidRPr="006D6357">
        <w:rPr>
          <w:sz w:val="24"/>
          <w:szCs w:val="24"/>
          <w:lang w:val="en-US" w:eastAsia="ru-RU"/>
        </w:rPr>
        <w:t>As</w:t>
      </w:r>
      <w:r w:rsidRPr="00D946B9">
        <w:rPr>
          <w:sz w:val="24"/>
          <w:szCs w:val="24"/>
          <w:lang w:val="en-US" w:eastAsia="ru-RU"/>
        </w:rPr>
        <w:t xml:space="preserve"> </w:t>
      </w:r>
      <w:r w:rsidRPr="006D6357">
        <w:rPr>
          <w:sz w:val="24"/>
          <w:szCs w:val="24"/>
          <w:lang w:val="en-US" w:eastAsia="ru-RU"/>
        </w:rPr>
        <w:t>at</w:t>
      </w:r>
      <w:r w:rsidRPr="00D946B9">
        <w:rPr>
          <w:sz w:val="24"/>
          <w:szCs w:val="24"/>
          <w:lang w:val="en-US" w:eastAsia="ru-RU"/>
        </w:rPr>
        <w:t xml:space="preserve"> 31 </w:t>
      </w:r>
      <w:r w:rsidRPr="006D6357">
        <w:rPr>
          <w:sz w:val="24"/>
          <w:szCs w:val="24"/>
          <w:lang w:val="en-US" w:eastAsia="ru-RU"/>
        </w:rPr>
        <w:t>December</w:t>
      </w:r>
      <w:r w:rsidRPr="00D946B9">
        <w:rPr>
          <w:sz w:val="24"/>
          <w:szCs w:val="24"/>
          <w:lang w:val="en-US" w:eastAsia="ru-RU"/>
        </w:rPr>
        <w:t xml:space="preserve"> </w:t>
      </w:r>
      <w:r w:rsidR="00857A24" w:rsidRPr="00D946B9">
        <w:rPr>
          <w:sz w:val="24"/>
          <w:szCs w:val="24"/>
          <w:lang w:val="en-US" w:eastAsia="ru-RU"/>
        </w:rPr>
        <w:t>201</w:t>
      </w:r>
      <w:r w:rsidR="00F06B7D" w:rsidRPr="00D946B9">
        <w:rPr>
          <w:sz w:val="24"/>
          <w:szCs w:val="24"/>
          <w:lang w:val="en-US" w:eastAsia="ru-RU"/>
        </w:rPr>
        <w:t>4</w:t>
      </w:r>
      <w:r w:rsidR="00857A24" w:rsidRPr="00D946B9">
        <w:rPr>
          <w:sz w:val="24"/>
          <w:szCs w:val="24"/>
          <w:lang w:val="en-US" w:eastAsia="ru-RU"/>
        </w:rPr>
        <w:t> </w:t>
      </w:r>
      <w:r w:rsidRPr="006D6357">
        <w:rPr>
          <w:sz w:val="24"/>
          <w:szCs w:val="24"/>
          <w:lang w:val="en-US" w:eastAsia="ru-RU"/>
        </w:rPr>
        <w:t>the authorized capital of the Company is completely paid for and consists</w:t>
      </w:r>
      <w:r w:rsidR="00857A24" w:rsidRPr="00D946B9">
        <w:rPr>
          <w:sz w:val="24"/>
          <w:szCs w:val="24"/>
          <w:lang w:val="en-US" w:eastAsia="ru-RU"/>
        </w:rPr>
        <w:t>:</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2700"/>
        <w:gridCol w:w="3348"/>
      </w:tblGrid>
      <w:tr w:rsidR="00D946B9" w:rsidRPr="00836721" w:rsidTr="005572E7">
        <w:tc>
          <w:tcPr>
            <w:tcW w:w="3420" w:type="dxa"/>
          </w:tcPr>
          <w:p w:rsidR="00D946B9" w:rsidRPr="00836721" w:rsidRDefault="00D946B9" w:rsidP="007C4502">
            <w:pPr>
              <w:ind w:firstLine="709"/>
              <w:jc w:val="both"/>
              <w:rPr>
                <w:b/>
                <w:lang w:val="ru-RU"/>
              </w:rPr>
            </w:pPr>
            <w:proofErr w:type="spellStart"/>
            <w:r w:rsidRPr="00C7685B">
              <w:rPr>
                <w:b/>
                <w:lang w:val="ru-RU"/>
              </w:rPr>
              <w:t>Name</w:t>
            </w:r>
            <w:proofErr w:type="spellEnd"/>
          </w:p>
        </w:tc>
        <w:tc>
          <w:tcPr>
            <w:tcW w:w="2700" w:type="dxa"/>
          </w:tcPr>
          <w:p w:rsidR="00D946B9" w:rsidRPr="00836721" w:rsidRDefault="00D946B9" w:rsidP="007C4502">
            <w:pPr>
              <w:jc w:val="center"/>
              <w:rPr>
                <w:b/>
                <w:lang w:val="ru-RU"/>
              </w:rPr>
            </w:pPr>
            <w:proofErr w:type="spellStart"/>
            <w:r w:rsidRPr="00C7685B">
              <w:rPr>
                <w:b/>
                <w:lang w:val="ru-RU"/>
              </w:rPr>
              <w:t>Total</w:t>
            </w:r>
            <w:proofErr w:type="spellEnd"/>
            <w:r w:rsidRPr="00C7685B">
              <w:rPr>
                <w:b/>
                <w:lang w:val="ru-RU"/>
              </w:rPr>
              <w:t xml:space="preserve"> </w:t>
            </w:r>
            <w:proofErr w:type="spellStart"/>
            <w:r w:rsidRPr="00C7685B">
              <w:rPr>
                <w:b/>
                <w:lang w:val="ru-RU"/>
              </w:rPr>
              <w:t>quantity</w:t>
            </w:r>
            <w:proofErr w:type="spellEnd"/>
            <w:r w:rsidRPr="00836721">
              <w:rPr>
                <w:b/>
                <w:lang w:val="ru-RU"/>
              </w:rPr>
              <w:t xml:space="preserve">      (</w:t>
            </w:r>
            <w:proofErr w:type="spellStart"/>
            <w:r>
              <w:rPr>
                <w:b/>
                <w:lang w:val="de-DE"/>
              </w:rPr>
              <w:t>pc</w:t>
            </w:r>
            <w:proofErr w:type="spellEnd"/>
            <w:r w:rsidRPr="00836721">
              <w:rPr>
                <w:b/>
                <w:lang w:val="ru-RU"/>
              </w:rPr>
              <w:t>.)</w:t>
            </w:r>
          </w:p>
        </w:tc>
        <w:tc>
          <w:tcPr>
            <w:tcW w:w="3348" w:type="dxa"/>
          </w:tcPr>
          <w:p w:rsidR="00D946B9" w:rsidRDefault="00D946B9" w:rsidP="007C4502">
            <w:pPr>
              <w:jc w:val="center"/>
              <w:rPr>
                <w:b/>
                <w:lang w:val="de-DE"/>
              </w:rPr>
            </w:pPr>
            <w:proofErr w:type="spellStart"/>
            <w:r w:rsidRPr="00C7685B">
              <w:rPr>
                <w:b/>
                <w:lang w:val="ru-RU"/>
              </w:rPr>
              <w:t>Nominal</w:t>
            </w:r>
            <w:proofErr w:type="spellEnd"/>
            <w:r w:rsidRPr="00C7685B">
              <w:rPr>
                <w:b/>
                <w:lang w:val="ru-RU"/>
              </w:rPr>
              <w:t xml:space="preserve"> </w:t>
            </w:r>
            <w:proofErr w:type="spellStart"/>
            <w:r w:rsidRPr="00C7685B">
              <w:rPr>
                <w:b/>
                <w:lang w:val="ru-RU"/>
              </w:rPr>
              <w:t>value</w:t>
            </w:r>
            <w:proofErr w:type="spellEnd"/>
          </w:p>
          <w:p w:rsidR="00D946B9" w:rsidRPr="00836721" w:rsidRDefault="00D946B9" w:rsidP="007C4502">
            <w:pPr>
              <w:jc w:val="center"/>
              <w:rPr>
                <w:b/>
                <w:lang w:val="ru-RU"/>
              </w:rPr>
            </w:pPr>
            <w:proofErr w:type="gramStart"/>
            <w:r w:rsidRPr="00836721">
              <w:rPr>
                <w:b/>
                <w:lang w:val="ru-RU"/>
              </w:rPr>
              <w:t>(</w:t>
            </w:r>
            <w:proofErr w:type="spellStart"/>
            <w:r>
              <w:rPr>
                <w:b/>
                <w:lang w:val="ru-RU"/>
              </w:rPr>
              <w:t>thous</w:t>
            </w:r>
            <w:proofErr w:type="spellEnd"/>
            <w:r>
              <w:rPr>
                <w:b/>
                <w:lang w:val="ru-RU"/>
              </w:rPr>
              <w:t>.</w:t>
            </w:r>
            <w:proofErr w:type="gramEnd"/>
            <w:r>
              <w:rPr>
                <w:b/>
                <w:lang w:val="ru-RU"/>
              </w:rPr>
              <w:t xml:space="preserve"> </w:t>
            </w:r>
            <w:proofErr w:type="gramStart"/>
            <w:r>
              <w:rPr>
                <w:b/>
                <w:lang w:val="ru-RU"/>
              </w:rPr>
              <w:t>RUB)</w:t>
            </w:r>
            <w:proofErr w:type="gramEnd"/>
          </w:p>
        </w:tc>
      </w:tr>
      <w:tr w:rsidR="00D946B9" w:rsidRPr="00836721" w:rsidTr="005572E7">
        <w:tc>
          <w:tcPr>
            <w:tcW w:w="3420" w:type="dxa"/>
            <w:vAlign w:val="center"/>
          </w:tcPr>
          <w:p w:rsidR="00D946B9" w:rsidRPr="00836721" w:rsidRDefault="00D946B9" w:rsidP="007C4502">
            <w:pPr>
              <w:jc w:val="both"/>
              <w:rPr>
                <w:sz w:val="24"/>
                <w:szCs w:val="24"/>
                <w:lang w:val="ru-RU" w:eastAsia="ru-RU"/>
              </w:rPr>
            </w:pPr>
            <w:proofErr w:type="spellStart"/>
            <w:r w:rsidRPr="00C7685B">
              <w:rPr>
                <w:sz w:val="24"/>
                <w:szCs w:val="24"/>
                <w:lang w:val="ru-RU" w:eastAsia="ru-RU"/>
              </w:rPr>
              <w:t>Common</w:t>
            </w:r>
            <w:proofErr w:type="spellEnd"/>
            <w:r w:rsidRPr="00C7685B">
              <w:rPr>
                <w:sz w:val="24"/>
                <w:szCs w:val="24"/>
                <w:lang w:val="ru-RU" w:eastAsia="ru-RU"/>
              </w:rPr>
              <w:t xml:space="preserve"> </w:t>
            </w:r>
            <w:proofErr w:type="spellStart"/>
            <w:r w:rsidRPr="00C7685B">
              <w:rPr>
                <w:sz w:val="24"/>
                <w:szCs w:val="24"/>
                <w:lang w:val="ru-RU" w:eastAsia="ru-RU"/>
              </w:rPr>
              <w:t>stocks</w:t>
            </w:r>
            <w:proofErr w:type="spellEnd"/>
          </w:p>
        </w:tc>
        <w:tc>
          <w:tcPr>
            <w:tcW w:w="2700" w:type="dxa"/>
            <w:vAlign w:val="center"/>
          </w:tcPr>
          <w:p w:rsidR="00D946B9" w:rsidRPr="00836721" w:rsidRDefault="00D946B9" w:rsidP="00770100">
            <w:pPr>
              <w:ind w:firstLine="709"/>
              <w:jc w:val="right"/>
              <w:rPr>
                <w:sz w:val="24"/>
                <w:szCs w:val="24"/>
                <w:lang w:val="ru-RU" w:eastAsia="ru-RU"/>
              </w:rPr>
            </w:pPr>
            <w:r w:rsidRPr="00836721">
              <w:rPr>
                <w:sz w:val="24"/>
                <w:szCs w:val="24"/>
                <w:lang w:val="ru-RU" w:eastAsia="ru-RU"/>
              </w:rPr>
              <w:t>42 217 941 468</w:t>
            </w:r>
          </w:p>
        </w:tc>
        <w:tc>
          <w:tcPr>
            <w:tcW w:w="3348" w:type="dxa"/>
            <w:vAlign w:val="center"/>
          </w:tcPr>
          <w:p w:rsidR="00D946B9" w:rsidRPr="00836721" w:rsidRDefault="00D946B9" w:rsidP="00770100">
            <w:pPr>
              <w:ind w:firstLine="709"/>
              <w:jc w:val="right"/>
              <w:rPr>
                <w:sz w:val="24"/>
                <w:szCs w:val="24"/>
                <w:lang w:val="ru-RU" w:eastAsia="ru-RU"/>
              </w:rPr>
            </w:pPr>
            <w:r w:rsidRPr="00836721">
              <w:rPr>
                <w:sz w:val="24"/>
                <w:szCs w:val="24"/>
                <w:lang w:val="ru-RU" w:eastAsia="ru-RU"/>
              </w:rPr>
              <w:t>4 221 794</w:t>
            </w:r>
          </w:p>
        </w:tc>
      </w:tr>
      <w:tr w:rsidR="00D946B9" w:rsidRPr="00836721" w:rsidTr="005572E7">
        <w:tc>
          <w:tcPr>
            <w:tcW w:w="3420" w:type="dxa"/>
            <w:vAlign w:val="center"/>
          </w:tcPr>
          <w:p w:rsidR="00D946B9" w:rsidRPr="00836721" w:rsidRDefault="00D946B9" w:rsidP="007C4502">
            <w:pPr>
              <w:jc w:val="both"/>
              <w:rPr>
                <w:sz w:val="24"/>
                <w:szCs w:val="24"/>
                <w:lang w:val="ru-RU" w:eastAsia="ru-RU"/>
              </w:rPr>
            </w:pPr>
            <w:proofErr w:type="spellStart"/>
            <w:r w:rsidRPr="00C7685B">
              <w:rPr>
                <w:sz w:val="24"/>
                <w:szCs w:val="24"/>
                <w:lang w:val="ru-RU" w:eastAsia="ru-RU"/>
              </w:rPr>
              <w:t>Preferred</w:t>
            </w:r>
            <w:proofErr w:type="spellEnd"/>
            <w:r w:rsidRPr="00C7685B">
              <w:rPr>
                <w:sz w:val="24"/>
                <w:szCs w:val="24"/>
                <w:lang w:val="ru-RU" w:eastAsia="ru-RU"/>
              </w:rPr>
              <w:t xml:space="preserve"> </w:t>
            </w:r>
            <w:proofErr w:type="spellStart"/>
            <w:r w:rsidRPr="00C7685B">
              <w:rPr>
                <w:sz w:val="24"/>
                <w:szCs w:val="24"/>
                <w:lang w:val="ru-RU" w:eastAsia="ru-RU"/>
              </w:rPr>
              <w:t>stocks</w:t>
            </w:r>
            <w:proofErr w:type="spellEnd"/>
          </w:p>
        </w:tc>
        <w:tc>
          <w:tcPr>
            <w:tcW w:w="2700" w:type="dxa"/>
            <w:vAlign w:val="center"/>
          </w:tcPr>
          <w:p w:rsidR="00D946B9" w:rsidRPr="00836721" w:rsidRDefault="00D946B9" w:rsidP="00770100">
            <w:pPr>
              <w:ind w:firstLine="709"/>
              <w:jc w:val="right"/>
              <w:rPr>
                <w:sz w:val="24"/>
                <w:szCs w:val="24"/>
                <w:lang w:val="ru-RU" w:eastAsia="ru-RU"/>
              </w:rPr>
            </w:pPr>
            <w:r w:rsidRPr="00836721">
              <w:rPr>
                <w:sz w:val="24"/>
                <w:szCs w:val="24"/>
                <w:lang w:val="ru-RU" w:eastAsia="ru-RU"/>
              </w:rPr>
              <w:t>-</w:t>
            </w:r>
          </w:p>
        </w:tc>
        <w:tc>
          <w:tcPr>
            <w:tcW w:w="3348" w:type="dxa"/>
            <w:vAlign w:val="center"/>
          </w:tcPr>
          <w:p w:rsidR="00D946B9" w:rsidRPr="00836721" w:rsidRDefault="00D946B9" w:rsidP="00770100">
            <w:pPr>
              <w:ind w:firstLine="709"/>
              <w:jc w:val="right"/>
              <w:rPr>
                <w:sz w:val="24"/>
                <w:szCs w:val="24"/>
                <w:lang w:val="ru-RU" w:eastAsia="ru-RU"/>
              </w:rPr>
            </w:pPr>
            <w:r w:rsidRPr="00836721">
              <w:rPr>
                <w:sz w:val="24"/>
                <w:szCs w:val="24"/>
                <w:lang w:val="ru-RU" w:eastAsia="ru-RU"/>
              </w:rPr>
              <w:t>-</w:t>
            </w:r>
          </w:p>
        </w:tc>
      </w:tr>
      <w:tr w:rsidR="00B35A9C" w:rsidRPr="00836721" w:rsidTr="005572E7">
        <w:trPr>
          <w:trHeight w:val="372"/>
        </w:trPr>
        <w:tc>
          <w:tcPr>
            <w:tcW w:w="3420" w:type="dxa"/>
            <w:vAlign w:val="center"/>
          </w:tcPr>
          <w:p w:rsidR="00857A24" w:rsidRPr="00D946B9" w:rsidRDefault="00D946B9" w:rsidP="00575E70">
            <w:pPr>
              <w:jc w:val="center"/>
              <w:rPr>
                <w:b/>
                <w:sz w:val="24"/>
                <w:szCs w:val="24"/>
                <w:lang w:val="en-US" w:eastAsia="ru-RU"/>
              </w:rPr>
            </w:pPr>
            <w:r>
              <w:rPr>
                <w:b/>
                <w:sz w:val="24"/>
                <w:szCs w:val="24"/>
                <w:lang w:val="en-US" w:eastAsia="ru-RU"/>
              </w:rPr>
              <w:t>Total</w:t>
            </w:r>
          </w:p>
        </w:tc>
        <w:tc>
          <w:tcPr>
            <w:tcW w:w="2700" w:type="dxa"/>
            <w:vAlign w:val="center"/>
          </w:tcPr>
          <w:p w:rsidR="00857A24" w:rsidRPr="00575E70" w:rsidRDefault="00857A24" w:rsidP="00770100">
            <w:pPr>
              <w:ind w:firstLine="709"/>
              <w:jc w:val="right"/>
              <w:rPr>
                <w:b/>
                <w:sz w:val="24"/>
                <w:szCs w:val="24"/>
                <w:lang w:val="ru-RU" w:eastAsia="ru-RU"/>
              </w:rPr>
            </w:pPr>
            <w:r w:rsidRPr="00575E70">
              <w:rPr>
                <w:b/>
                <w:sz w:val="24"/>
                <w:szCs w:val="24"/>
                <w:lang w:val="ru-RU" w:eastAsia="ru-RU"/>
              </w:rPr>
              <w:t>42 217 941 468</w:t>
            </w:r>
          </w:p>
        </w:tc>
        <w:tc>
          <w:tcPr>
            <w:tcW w:w="3348" w:type="dxa"/>
            <w:vAlign w:val="center"/>
          </w:tcPr>
          <w:p w:rsidR="00857A24" w:rsidRPr="00575E70" w:rsidRDefault="00857A24" w:rsidP="00770100">
            <w:pPr>
              <w:ind w:firstLine="709"/>
              <w:jc w:val="right"/>
              <w:rPr>
                <w:b/>
                <w:sz w:val="24"/>
                <w:szCs w:val="24"/>
                <w:lang w:val="ru-RU" w:eastAsia="ru-RU"/>
              </w:rPr>
            </w:pPr>
            <w:r w:rsidRPr="00575E70">
              <w:rPr>
                <w:b/>
                <w:sz w:val="24"/>
                <w:szCs w:val="24"/>
                <w:lang w:val="ru-RU" w:eastAsia="ru-RU"/>
              </w:rPr>
              <w:t>4 221 794 </w:t>
            </w:r>
          </w:p>
        </w:tc>
      </w:tr>
    </w:tbl>
    <w:p w:rsidR="00857A24" w:rsidRPr="00836721" w:rsidRDefault="00857A24" w:rsidP="00DF723E">
      <w:pPr>
        <w:shd w:val="clear" w:color="auto" w:fill="FFFFFF"/>
        <w:spacing w:line="180" w:lineRule="atLeast"/>
        <w:ind w:firstLine="709"/>
        <w:jc w:val="both"/>
        <w:rPr>
          <w:b/>
          <w:lang w:val="ru-RU"/>
        </w:rPr>
      </w:pPr>
    </w:p>
    <w:p w:rsidR="00640A79" w:rsidRPr="002653C1" w:rsidRDefault="002653C1" w:rsidP="00A15663">
      <w:pPr>
        <w:ind w:firstLine="709"/>
        <w:jc w:val="both"/>
        <w:rPr>
          <w:sz w:val="24"/>
          <w:szCs w:val="24"/>
          <w:lang w:val="en-US" w:eastAsia="ru-RU"/>
        </w:rPr>
      </w:pPr>
      <w:r w:rsidRPr="001B3E83">
        <w:rPr>
          <w:sz w:val="24"/>
          <w:szCs w:val="24"/>
          <w:lang w:val="en-US" w:eastAsia="ru-RU"/>
        </w:rPr>
        <w:t xml:space="preserve">The base earnings per share reflect a part of profit of the accounting period, which can be potentially </w:t>
      </w:r>
      <w:r>
        <w:rPr>
          <w:sz w:val="24"/>
          <w:szCs w:val="24"/>
          <w:lang w:val="en-US" w:eastAsia="ru-RU"/>
        </w:rPr>
        <w:t>distribut</w:t>
      </w:r>
      <w:r w:rsidRPr="001B3E83">
        <w:rPr>
          <w:sz w:val="24"/>
          <w:szCs w:val="24"/>
          <w:lang w:val="en-US" w:eastAsia="ru-RU"/>
        </w:rPr>
        <w:t xml:space="preserve">ed among shareholders – owners of common stocks. It is calculated as the relation of base profit for the accounting year to the </w:t>
      </w:r>
      <w:r>
        <w:rPr>
          <w:sz w:val="24"/>
          <w:szCs w:val="24"/>
          <w:lang w:val="en-US" w:eastAsia="ru-RU"/>
        </w:rPr>
        <w:t xml:space="preserve">weighted </w:t>
      </w:r>
      <w:r w:rsidRPr="001B3E83">
        <w:rPr>
          <w:sz w:val="24"/>
          <w:szCs w:val="24"/>
          <w:lang w:val="en-US" w:eastAsia="ru-RU"/>
        </w:rPr>
        <w:t>average quantity of common stocks in circulation within the accounting year. The base profit is equal to net profit of the accounting year. Earnings per share, diluted earnings per share are included in the explanatory note to the accounting balance sheet and the profit and loss statement in table</w:t>
      </w:r>
      <w:r>
        <w:rPr>
          <w:sz w:val="24"/>
          <w:szCs w:val="24"/>
          <w:lang w:val="en-US" w:eastAsia="ru-RU"/>
        </w:rPr>
        <w:t xml:space="preserve"> </w:t>
      </w:r>
      <w:r w:rsidR="002045B8" w:rsidRPr="002653C1">
        <w:rPr>
          <w:sz w:val="24"/>
          <w:szCs w:val="24"/>
          <w:lang w:val="en-US" w:eastAsia="ru-RU"/>
        </w:rPr>
        <w:t xml:space="preserve">2.2. </w:t>
      </w:r>
    </w:p>
    <w:p w:rsidR="00103BE0" w:rsidRPr="002653C1" w:rsidRDefault="00103BE0" w:rsidP="00DF723E">
      <w:pPr>
        <w:ind w:firstLine="709"/>
        <w:jc w:val="both"/>
        <w:rPr>
          <w:rFonts w:ascii="13" w:hAnsi="13"/>
          <w:sz w:val="24"/>
          <w:szCs w:val="24"/>
          <w:lang w:val="en-US"/>
        </w:rPr>
      </w:pPr>
    </w:p>
    <w:p w:rsidR="008041DF" w:rsidRPr="002653C1" w:rsidRDefault="008041DF" w:rsidP="00DF723E">
      <w:pPr>
        <w:ind w:firstLine="709"/>
        <w:jc w:val="both"/>
        <w:rPr>
          <w:rFonts w:ascii="13" w:hAnsi="13"/>
          <w:sz w:val="24"/>
          <w:szCs w:val="24"/>
          <w:lang w:val="en-US"/>
        </w:rPr>
      </w:pPr>
    </w:p>
    <w:p w:rsidR="00640A79" w:rsidRPr="007D08A7" w:rsidRDefault="0073247D" w:rsidP="00C60265">
      <w:pPr>
        <w:pStyle w:val="8"/>
      </w:pPr>
      <w:proofErr w:type="spellStart"/>
      <w:r w:rsidRPr="00C7685B">
        <w:t>Cash</w:t>
      </w:r>
      <w:proofErr w:type="spellEnd"/>
      <w:r w:rsidRPr="00C7685B">
        <w:t xml:space="preserve"> </w:t>
      </w:r>
      <w:proofErr w:type="spellStart"/>
      <w:r w:rsidRPr="00C7685B">
        <w:t>flow</w:t>
      </w:r>
      <w:proofErr w:type="spellEnd"/>
      <w:r w:rsidRPr="00C7685B">
        <w:t xml:space="preserve"> </w:t>
      </w:r>
      <w:proofErr w:type="spellStart"/>
      <w:r w:rsidRPr="00C7685B">
        <w:t>statement</w:t>
      </w:r>
      <w:proofErr w:type="spellEnd"/>
      <w:r w:rsidR="00640A79" w:rsidRPr="007D08A7">
        <w:t xml:space="preserve"> </w:t>
      </w:r>
    </w:p>
    <w:p w:rsidR="000051C0" w:rsidRPr="007D08A7" w:rsidRDefault="000051C0" w:rsidP="00DF723E">
      <w:pPr>
        <w:pStyle w:val="ab"/>
        <w:ind w:left="0" w:firstLine="709"/>
        <w:jc w:val="both"/>
        <w:rPr>
          <w:rFonts w:ascii="13" w:hAnsi="13"/>
          <w:b/>
          <w:sz w:val="24"/>
          <w:szCs w:val="24"/>
          <w:highlight w:val="yellow"/>
          <w:lang w:val="ru-RU"/>
        </w:rPr>
      </w:pPr>
    </w:p>
    <w:p w:rsidR="003A7A2D" w:rsidRPr="0073247D" w:rsidRDefault="0073247D" w:rsidP="003A7A2D">
      <w:pPr>
        <w:ind w:firstLine="709"/>
        <w:jc w:val="both"/>
        <w:rPr>
          <w:sz w:val="24"/>
          <w:szCs w:val="24"/>
          <w:lang w:val="en-US" w:eastAsia="ru-RU"/>
        </w:rPr>
      </w:pPr>
      <w:r w:rsidRPr="00C7685B">
        <w:rPr>
          <w:sz w:val="24"/>
          <w:szCs w:val="24"/>
          <w:lang w:val="en-US" w:eastAsia="ru-RU"/>
        </w:rPr>
        <w:t>As at 31.12.201</w:t>
      </w:r>
      <w:r>
        <w:rPr>
          <w:sz w:val="24"/>
          <w:szCs w:val="24"/>
          <w:lang w:val="en-US" w:eastAsia="ru-RU"/>
        </w:rPr>
        <w:t>4</w:t>
      </w:r>
      <w:r w:rsidRPr="00C7685B">
        <w:rPr>
          <w:sz w:val="24"/>
          <w:szCs w:val="24"/>
          <w:lang w:val="en-US" w:eastAsia="ru-RU"/>
        </w:rPr>
        <w:t xml:space="preserve"> there are no funds on deposits</w:t>
      </w:r>
      <w:r w:rsidR="003A7A2D" w:rsidRPr="0073247D">
        <w:rPr>
          <w:sz w:val="24"/>
          <w:szCs w:val="24"/>
          <w:lang w:val="en-US" w:eastAsia="ru-RU"/>
        </w:rPr>
        <w:t>.</w:t>
      </w:r>
    </w:p>
    <w:p w:rsidR="00402149" w:rsidRPr="00C7685B" w:rsidRDefault="00402149" w:rsidP="00402149">
      <w:pPr>
        <w:ind w:firstLine="709"/>
        <w:jc w:val="both"/>
        <w:rPr>
          <w:sz w:val="24"/>
          <w:szCs w:val="24"/>
          <w:lang w:val="en-US" w:eastAsia="ru-RU"/>
        </w:rPr>
      </w:pPr>
      <w:r w:rsidRPr="00C7685B">
        <w:rPr>
          <w:sz w:val="24"/>
          <w:szCs w:val="24"/>
          <w:lang w:val="en-US" w:eastAsia="ru-RU"/>
        </w:rPr>
        <w:t xml:space="preserve">In the Cash Flow Statement, as collapsed, indirect taxes are reflected from buyers and customers, payments to suppliers and contractors and payments to the budget of the Russian Federation or the reimbursement out of it. </w:t>
      </w:r>
    </w:p>
    <w:p w:rsidR="00645C4E" w:rsidRPr="00402149" w:rsidRDefault="00402149" w:rsidP="00402149">
      <w:pPr>
        <w:ind w:firstLine="709"/>
        <w:jc w:val="both"/>
        <w:rPr>
          <w:sz w:val="24"/>
          <w:szCs w:val="24"/>
          <w:lang w:val="en-US" w:eastAsia="ru-RU"/>
        </w:rPr>
      </w:pPr>
      <w:r w:rsidRPr="00C7685B">
        <w:rPr>
          <w:sz w:val="24"/>
          <w:szCs w:val="24"/>
          <w:lang w:val="en-US" w:eastAsia="ru-RU"/>
        </w:rPr>
        <w:t xml:space="preserve">VAT is an indirect tax. </w:t>
      </w:r>
      <w:proofErr w:type="gramStart"/>
      <w:r w:rsidRPr="00C7685B">
        <w:rPr>
          <w:sz w:val="24"/>
          <w:szCs w:val="24"/>
          <w:lang w:val="en-US" w:eastAsia="ru-RU"/>
        </w:rPr>
        <w:t>The collapsed result on VAT in the amount of</w:t>
      </w:r>
      <w:r>
        <w:rPr>
          <w:sz w:val="24"/>
          <w:szCs w:val="24"/>
          <w:lang w:val="en-US" w:eastAsia="ru-RU"/>
        </w:rPr>
        <w:t xml:space="preserve"> </w:t>
      </w:r>
      <w:r w:rsidR="00645C4E" w:rsidRPr="00402149">
        <w:rPr>
          <w:sz w:val="24"/>
          <w:szCs w:val="24"/>
          <w:lang w:val="en-US" w:eastAsia="ru-RU"/>
        </w:rPr>
        <w:t xml:space="preserve">1 232 039 </w:t>
      </w:r>
      <w:proofErr w:type="spellStart"/>
      <w:r w:rsidR="008F47BD" w:rsidRPr="00402149">
        <w:rPr>
          <w:sz w:val="24"/>
          <w:szCs w:val="24"/>
          <w:lang w:val="en-US" w:eastAsia="ru-RU"/>
        </w:rPr>
        <w:t>thous</w:t>
      </w:r>
      <w:proofErr w:type="spellEnd"/>
      <w:r w:rsidR="008F47BD" w:rsidRPr="00402149">
        <w:rPr>
          <w:sz w:val="24"/>
          <w:szCs w:val="24"/>
          <w:lang w:val="en-US" w:eastAsia="ru-RU"/>
        </w:rPr>
        <w:t>.</w:t>
      </w:r>
      <w:proofErr w:type="gramEnd"/>
      <w:r w:rsidR="008F47BD" w:rsidRPr="00402149">
        <w:rPr>
          <w:sz w:val="24"/>
          <w:szCs w:val="24"/>
          <w:lang w:val="en-US" w:eastAsia="ru-RU"/>
        </w:rPr>
        <w:t xml:space="preserve"> RUB</w:t>
      </w:r>
      <w:r w:rsidR="00645C4E" w:rsidRPr="00402149">
        <w:rPr>
          <w:sz w:val="24"/>
          <w:szCs w:val="24"/>
          <w:lang w:val="en-US" w:eastAsia="ru-RU"/>
        </w:rPr>
        <w:t xml:space="preserve"> </w:t>
      </w:r>
      <w:r w:rsidRPr="00B3740D">
        <w:rPr>
          <w:sz w:val="24"/>
          <w:szCs w:val="24"/>
          <w:lang w:val="en-US" w:eastAsia="ru-RU"/>
        </w:rPr>
        <w:t xml:space="preserve">is reflected in line </w:t>
      </w:r>
      <w:r w:rsidRPr="00C7685B">
        <w:rPr>
          <w:sz w:val="24"/>
          <w:szCs w:val="24"/>
          <w:lang w:val="en-US" w:eastAsia="ru-RU"/>
        </w:rPr>
        <w:t>4129 «Other payments</w:t>
      </w:r>
      <w:r w:rsidR="00645C4E" w:rsidRPr="00402149">
        <w:rPr>
          <w:sz w:val="24"/>
          <w:szCs w:val="24"/>
          <w:lang w:val="en-US" w:eastAsia="ru-RU"/>
        </w:rPr>
        <w:t>»:</w:t>
      </w:r>
    </w:p>
    <w:p w:rsidR="003A7A2D" w:rsidRPr="008A4CEC" w:rsidRDefault="003A7A2D" w:rsidP="003A7A2D">
      <w:pPr>
        <w:ind w:firstLine="709"/>
        <w:jc w:val="both"/>
        <w:rPr>
          <w:sz w:val="24"/>
          <w:szCs w:val="24"/>
          <w:lang w:val="en-US" w:eastAsia="ru-RU"/>
        </w:rPr>
      </w:pPr>
      <w:r w:rsidRPr="00402149">
        <w:rPr>
          <w:sz w:val="24"/>
          <w:szCs w:val="24"/>
          <w:lang w:val="en-US" w:eastAsia="ru-RU"/>
        </w:rPr>
        <w:t xml:space="preserve">- </w:t>
      </w:r>
      <w:r w:rsidR="00402149" w:rsidRPr="00B3740D">
        <w:rPr>
          <w:sz w:val="24"/>
          <w:szCs w:val="24"/>
          <w:lang w:val="en-US" w:eastAsia="ru-RU"/>
        </w:rPr>
        <w:t xml:space="preserve">VAT amount as received from buyers and customers is </w:t>
      </w:r>
      <w:r w:rsidRPr="00402149">
        <w:rPr>
          <w:sz w:val="24"/>
          <w:szCs w:val="24"/>
          <w:lang w:val="en-US" w:eastAsia="ru-RU"/>
        </w:rPr>
        <w:t xml:space="preserve">13 502 872 </w:t>
      </w:r>
      <w:proofErr w:type="spellStart"/>
      <w:r w:rsidR="008F47BD" w:rsidRPr="00402149">
        <w:rPr>
          <w:sz w:val="24"/>
          <w:szCs w:val="24"/>
          <w:lang w:val="en-US" w:eastAsia="ru-RU"/>
        </w:rPr>
        <w:t>thous</w:t>
      </w:r>
      <w:proofErr w:type="spellEnd"/>
      <w:r w:rsidR="008F47BD" w:rsidRPr="00402149">
        <w:rPr>
          <w:sz w:val="24"/>
          <w:szCs w:val="24"/>
          <w:lang w:val="en-US" w:eastAsia="ru-RU"/>
        </w:rPr>
        <w:t xml:space="preserve">. </w:t>
      </w:r>
      <w:r w:rsidR="008F47BD" w:rsidRPr="008A4CEC">
        <w:rPr>
          <w:sz w:val="24"/>
          <w:szCs w:val="24"/>
          <w:lang w:val="en-US" w:eastAsia="ru-RU"/>
        </w:rPr>
        <w:t>RUB</w:t>
      </w:r>
      <w:r w:rsidRPr="008A4CEC">
        <w:rPr>
          <w:sz w:val="24"/>
          <w:szCs w:val="24"/>
          <w:lang w:val="en-US" w:eastAsia="ru-RU"/>
        </w:rPr>
        <w:t xml:space="preserve"> (</w:t>
      </w:r>
      <w:r w:rsidR="00402149">
        <w:rPr>
          <w:sz w:val="24"/>
          <w:szCs w:val="24"/>
          <w:lang w:val="en-US" w:eastAsia="ru-RU"/>
        </w:rPr>
        <w:t>lines</w:t>
      </w:r>
      <w:r w:rsidRPr="008A4CEC">
        <w:rPr>
          <w:sz w:val="24"/>
          <w:szCs w:val="24"/>
          <w:lang w:val="en-US" w:eastAsia="ru-RU"/>
        </w:rPr>
        <w:t xml:space="preserve"> 4110</w:t>
      </w:r>
      <w:proofErr w:type="gramStart"/>
      <w:r w:rsidRPr="008A4CEC">
        <w:rPr>
          <w:sz w:val="24"/>
          <w:szCs w:val="24"/>
          <w:lang w:val="en-US" w:eastAsia="ru-RU"/>
        </w:rPr>
        <w:t>,4210</w:t>
      </w:r>
      <w:proofErr w:type="gramEnd"/>
      <w:r w:rsidRPr="008A4CEC">
        <w:rPr>
          <w:sz w:val="24"/>
          <w:szCs w:val="24"/>
          <w:lang w:val="en-US" w:eastAsia="ru-RU"/>
        </w:rPr>
        <w:t>)</w:t>
      </w:r>
    </w:p>
    <w:p w:rsidR="003A7A2D" w:rsidRPr="008A4CEC" w:rsidRDefault="003A7A2D" w:rsidP="003A7A2D">
      <w:pPr>
        <w:ind w:firstLine="709"/>
        <w:jc w:val="both"/>
        <w:rPr>
          <w:sz w:val="24"/>
          <w:szCs w:val="24"/>
          <w:lang w:val="en-US" w:eastAsia="ru-RU"/>
        </w:rPr>
      </w:pPr>
      <w:r w:rsidRPr="008A4CEC">
        <w:rPr>
          <w:sz w:val="24"/>
          <w:szCs w:val="24"/>
          <w:lang w:val="en-US" w:eastAsia="ru-RU"/>
        </w:rPr>
        <w:t xml:space="preserve">- </w:t>
      </w:r>
      <w:r w:rsidR="008A4CEC" w:rsidRPr="00B3740D">
        <w:rPr>
          <w:sz w:val="24"/>
          <w:szCs w:val="24"/>
          <w:lang w:val="en-US" w:eastAsia="ru-RU"/>
        </w:rPr>
        <w:t>VAT amount as paid to suppliers and contractors and to the budget of the Russian Federation is</w:t>
      </w:r>
      <w:r w:rsidR="008A4CEC" w:rsidRPr="008A4CEC">
        <w:rPr>
          <w:sz w:val="24"/>
          <w:szCs w:val="24"/>
          <w:lang w:val="en-US" w:eastAsia="ru-RU"/>
        </w:rPr>
        <w:t xml:space="preserve"> </w:t>
      </w:r>
      <w:r w:rsidRPr="008A4CEC">
        <w:rPr>
          <w:sz w:val="24"/>
          <w:szCs w:val="24"/>
          <w:lang w:val="en-US" w:eastAsia="ru-RU"/>
        </w:rPr>
        <w:t xml:space="preserve">14 734 911 </w:t>
      </w:r>
      <w:proofErr w:type="spellStart"/>
      <w:r w:rsidR="008F47BD" w:rsidRPr="008A4CEC">
        <w:rPr>
          <w:sz w:val="24"/>
          <w:szCs w:val="24"/>
          <w:lang w:val="en-US" w:eastAsia="ru-RU"/>
        </w:rPr>
        <w:t>thous</w:t>
      </w:r>
      <w:proofErr w:type="spellEnd"/>
      <w:r w:rsidR="008F47BD" w:rsidRPr="008A4CEC">
        <w:rPr>
          <w:sz w:val="24"/>
          <w:szCs w:val="24"/>
          <w:lang w:val="en-US" w:eastAsia="ru-RU"/>
        </w:rPr>
        <w:t>. RUB</w:t>
      </w:r>
      <w:r w:rsidRPr="008A4CEC">
        <w:rPr>
          <w:sz w:val="24"/>
          <w:szCs w:val="24"/>
          <w:lang w:val="en-US" w:eastAsia="ru-RU"/>
        </w:rPr>
        <w:t xml:space="preserve"> (</w:t>
      </w:r>
      <w:r w:rsidR="008A4CEC" w:rsidRPr="00B3740D">
        <w:rPr>
          <w:sz w:val="24"/>
          <w:szCs w:val="24"/>
          <w:lang w:val="en-US" w:eastAsia="ru-RU"/>
        </w:rPr>
        <w:t>lines</w:t>
      </w:r>
      <w:r w:rsidRPr="008A4CEC">
        <w:rPr>
          <w:sz w:val="24"/>
          <w:szCs w:val="24"/>
          <w:lang w:val="en-US" w:eastAsia="ru-RU"/>
        </w:rPr>
        <w:t xml:space="preserve"> 4120, 4220, 4320).</w:t>
      </w:r>
    </w:p>
    <w:p w:rsidR="003A7A2D" w:rsidRPr="008A4CEC" w:rsidRDefault="008A4CEC" w:rsidP="003A7A2D">
      <w:pPr>
        <w:ind w:firstLine="709"/>
        <w:jc w:val="both"/>
        <w:rPr>
          <w:sz w:val="24"/>
          <w:szCs w:val="24"/>
          <w:lang w:val="en-US" w:eastAsia="ru-RU"/>
        </w:rPr>
      </w:pPr>
      <w:r w:rsidRPr="00B3740D">
        <w:rPr>
          <w:sz w:val="24"/>
          <w:szCs w:val="24"/>
          <w:lang w:val="en-US" w:eastAsia="ru-RU"/>
        </w:rPr>
        <w:t>Taxes are reflected in line 4129 «Other payments</w:t>
      </w:r>
      <w:r w:rsidR="003A7A2D" w:rsidRPr="008A4CEC">
        <w:rPr>
          <w:sz w:val="24"/>
          <w:szCs w:val="24"/>
          <w:lang w:val="en-US" w:eastAsia="ru-RU"/>
        </w:rPr>
        <w:t>».</w:t>
      </w:r>
    </w:p>
    <w:p w:rsidR="003A7A2D" w:rsidRPr="008A4CEC" w:rsidRDefault="008A4CEC" w:rsidP="003A7A2D">
      <w:pPr>
        <w:ind w:firstLine="709"/>
        <w:jc w:val="both"/>
        <w:rPr>
          <w:sz w:val="24"/>
          <w:szCs w:val="24"/>
          <w:lang w:val="en-US" w:eastAsia="ru-RU"/>
        </w:rPr>
      </w:pPr>
      <w:r w:rsidRPr="00B3740D">
        <w:rPr>
          <w:sz w:val="24"/>
          <w:szCs w:val="24"/>
          <w:lang w:val="en-US" w:eastAsia="ru-RU"/>
        </w:rPr>
        <w:t xml:space="preserve">Information on cash flow from operating, investing and financing activities of each reportable segment is included in Appendix # </w:t>
      </w:r>
      <w:r w:rsidR="006A26EC" w:rsidRPr="008A4CEC">
        <w:rPr>
          <w:sz w:val="24"/>
          <w:szCs w:val="24"/>
          <w:lang w:val="en-US" w:eastAsia="ru-RU"/>
        </w:rPr>
        <w:t>1</w:t>
      </w:r>
      <w:r w:rsidR="003A7A2D" w:rsidRPr="008A4CEC">
        <w:rPr>
          <w:sz w:val="24"/>
          <w:szCs w:val="24"/>
          <w:lang w:val="en-US" w:eastAsia="ru-RU"/>
        </w:rPr>
        <w:t>.</w:t>
      </w:r>
    </w:p>
    <w:p w:rsidR="003A7A2D" w:rsidRPr="008A4CEC" w:rsidRDefault="003A7A2D" w:rsidP="003A7A2D">
      <w:pPr>
        <w:rPr>
          <w:rFonts w:ascii="Calibri" w:eastAsiaTheme="minorHAnsi" w:hAnsi="Calibri"/>
          <w:sz w:val="22"/>
          <w:szCs w:val="22"/>
          <w:lang w:val="en-US"/>
        </w:rPr>
      </w:pPr>
    </w:p>
    <w:p w:rsidR="00A7582C" w:rsidRPr="008A4CEC" w:rsidRDefault="006746D3" w:rsidP="00BB7ED1">
      <w:pPr>
        <w:autoSpaceDE w:val="0"/>
        <w:autoSpaceDN w:val="0"/>
        <w:adjustRightInd w:val="0"/>
        <w:ind w:firstLine="709"/>
        <w:jc w:val="both"/>
        <w:rPr>
          <w:rFonts w:ascii="13" w:eastAsiaTheme="minorHAnsi" w:hAnsi="13"/>
          <w:sz w:val="26"/>
          <w:szCs w:val="26"/>
          <w:lang w:val="en-US"/>
        </w:rPr>
      </w:pPr>
      <w:r w:rsidRPr="008A4CEC">
        <w:rPr>
          <w:rFonts w:ascii="13" w:eastAsiaTheme="minorHAnsi" w:hAnsi="13"/>
          <w:sz w:val="26"/>
          <w:szCs w:val="26"/>
          <w:lang w:val="en-US"/>
        </w:rPr>
        <w:t xml:space="preserve"> </w:t>
      </w:r>
    </w:p>
    <w:p w:rsidR="006746D3" w:rsidRPr="005438B4" w:rsidRDefault="005438B4" w:rsidP="00C60265">
      <w:pPr>
        <w:pStyle w:val="8"/>
        <w:rPr>
          <w:lang w:val="en-US"/>
        </w:rPr>
      </w:pPr>
      <w:r w:rsidRPr="00B3740D">
        <w:rPr>
          <w:lang w:val="en-US"/>
        </w:rPr>
        <w:t>Profit/loss of previous years</w:t>
      </w:r>
    </w:p>
    <w:p w:rsidR="00A7582C" w:rsidRPr="005438B4" w:rsidRDefault="00A7582C" w:rsidP="00A7582C">
      <w:pPr>
        <w:pStyle w:val="ab"/>
        <w:ind w:left="809"/>
        <w:rPr>
          <w:rFonts w:ascii="13" w:eastAsiaTheme="minorHAnsi" w:hAnsi="13"/>
          <w:sz w:val="24"/>
          <w:szCs w:val="24"/>
          <w:lang w:val="en-US"/>
        </w:rPr>
      </w:pPr>
    </w:p>
    <w:p w:rsidR="00530F58" w:rsidRPr="005438B4" w:rsidRDefault="005438B4" w:rsidP="00530F58">
      <w:pPr>
        <w:ind w:firstLine="709"/>
        <w:jc w:val="both"/>
        <w:rPr>
          <w:sz w:val="24"/>
          <w:szCs w:val="24"/>
          <w:lang w:val="en-US" w:eastAsia="ru-RU"/>
        </w:rPr>
      </w:pPr>
      <w:r w:rsidRPr="000D113D">
        <w:rPr>
          <w:sz w:val="24"/>
          <w:szCs w:val="24"/>
          <w:lang w:val="en-US" w:eastAsia="ru-RU"/>
        </w:rPr>
        <w:lastRenderedPageBreak/>
        <w:t xml:space="preserve">In accounting IDGC of Centre for previous </w:t>
      </w:r>
      <w:r>
        <w:rPr>
          <w:sz w:val="24"/>
          <w:szCs w:val="24"/>
          <w:lang w:val="en-US" w:eastAsia="ru-RU"/>
        </w:rPr>
        <w:t xml:space="preserve">reporting </w:t>
      </w:r>
      <w:r w:rsidRPr="000D113D">
        <w:rPr>
          <w:sz w:val="24"/>
          <w:szCs w:val="24"/>
          <w:lang w:val="en-US" w:eastAsia="ru-RU"/>
        </w:rPr>
        <w:t>periods identified and recorded in 201</w:t>
      </w:r>
      <w:r>
        <w:rPr>
          <w:sz w:val="24"/>
          <w:szCs w:val="24"/>
          <w:lang w:val="en-US" w:eastAsia="ru-RU"/>
        </w:rPr>
        <w:t>4</w:t>
      </w:r>
      <w:r w:rsidRPr="000D113D">
        <w:rPr>
          <w:sz w:val="24"/>
          <w:szCs w:val="24"/>
          <w:lang w:val="en-US" w:eastAsia="ru-RU"/>
        </w:rPr>
        <w:t xml:space="preserve"> as earnings from previou</w:t>
      </w:r>
      <w:r>
        <w:rPr>
          <w:sz w:val="24"/>
          <w:szCs w:val="24"/>
          <w:lang w:val="en-US" w:eastAsia="ru-RU"/>
        </w:rPr>
        <w:t xml:space="preserve">s years income in the amount of </w:t>
      </w:r>
      <w:r w:rsidR="00530F58" w:rsidRPr="005438B4">
        <w:rPr>
          <w:sz w:val="24"/>
          <w:szCs w:val="24"/>
          <w:lang w:val="en-US" w:eastAsia="ru-RU"/>
        </w:rPr>
        <w:t xml:space="preserve">805 111 </w:t>
      </w:r>
      <w:proofErr w:type="spellStart"/>
      <w:r w:rsidRPr="000D113D">
        <w:rPr>
          <w:sz w:val="24"/>
          <w:szCs w:val="24"/>
          <w:lang w:val="en-US" w:eastAsia="ru-RU"/>
        </w:rPr>
        <w:t>thous</w:t>
      </w:r>
      <w:proofErr w:type="spellEnd"/>
      <w:r w:rsidRPr="000D113D">
        <w:rPr>
          <w:sz w:val="24"/>
          <w:szCs w:val="24"/>
          <w:lang w:val="en-US" w:eastAsia="ru-RU"/>
        </w:rPr>
        <w:t xml:space="preserve">. </w:t>
      </w:r>
      <w:r>
        <w:rPr>
          <w:sz w:val="24"/>
          <w:szCs w:val="24"/>
          <w:lang w:val="en-US" w:eastAsia="ru-RU"/>
        </w:rPr>
        <w:t>RUB</w:t>
      </w:r>
      <w:r w:rsidR="00530F58" w:rsidRPr="005438B4">
        <w:rPr>
          <w:sz w:val="24"/>
          <w:szCs w:val="24"/>
          <w:lang w:val="en-US" w:eastAsia="ru-RU"/>
        </w:rPr>
        <w:t xml:space="preserve">, </w:t>
      </w:r>
      <w:r w:rsidR="00FD3886" w:rsidRPr="005438B4">
        <w:rPr>
          <w:sz w:val="24"/>
          <w:szCs w:val="24"/>
          <w:lang w:val="en-US" w:eastAsia="ru-RU"/>
        </w:rPr>
        <w:t>including</w:t>
      </w:r>
      <w:r w:rsidR="00530F58" w:rsidRPr="005438B4">
        <w:rPr>
          <w:sz w:val="24"/>
          <w:szCs w:val="24"/>
          <w:lang w:val="en-US" w:eastAsia="ru-RU"/>
        </w:rPr>
        <w:t>:</w:t>
      </w:r>
    </w:p>
    <w:p w:rsidR="008723BB" w:rsidRDefault="00530F58" w:rsidP="00E37AB5">
      <w:pPr>
        <w:pStyle w:val="ab"/>
        <w:numPr>
          <w:ilvl w:val="0"/>
          <w:numId w:val="11"/>
        </w:numPr>
        <w:jc w:val="both"/>
        <w:rPr>
          <w:sz w:val="24"/>
          <w:szCs w:val="24"/>
          <w:lang w:val="ru-RU" w:eastAsia="ru-RU"/>
        </w:rPr>
      </w:pPr>
      <w:r w:rsidRPr="00726828">
        <w:rPr>
          <w:sz w:val="24"/>
          <w:szCs w:val="24"/>
          <w:lang w:val="en-US" w:eastAsia="ru-RU"/>
        </w:rPr>
        <w:t xml:space="preserve">652 </w:t>
      </w:r>
      <w:proofErr w:type="gramStart"/>
      <w:r w:rsidRPr="00726828">
        <w:rPr>
          <w:sz w:val="24"/>
          <w:szCs w:val="24"/>
          <w:lang w:val="en-US" w:eastAsia="ru-RU"/>
        </w:rPr>
        <w:t xml:space="preserve">008 </w:t>
      </w:r>
      <w:r w:rsidRPr="008723BB">
        <w:rPr>
          <w:sz w:val="24"/>
          <w:szCs w:val="24"/>
          <w:lang w:eastAsia="ru-RU"/>
        </w:rPr>
        <w:t> </w:t>
      </w:r>
      <w:proofErr w:type="spellStart"/>
      <w:r w:rsidR="00FF54FB" w:rsidRPr="000D113D">
        <w:rPr>
          <w:sz w:val="24"/>
          <w:szCs w:val="24"/>
          <w:lang w:val="en-US" w:eastAsia="ru-RU"/>
        </w:rPr>
        <w:t>thous</w:t>
      </w:r>
      <w:proofErr w:type="spellEnd"/>
      <w:proofErr w:type="gramEnd"/>
      <w:r w:rsidR="00FF54FB" w:rsidRPr="00726828">
        <w:rPr>
          <w:sz w:val="24"/>
          <w:szCs w:val="24"/>
          <w:lang w:val="en-US" w:eastAsia="ru-RU"/>
        </w:rPr>
        <w:t xml:space="preserve">. </w:t>
      </w:r>
      <w:r w:rsidR="00FF54FB">
        <w:rPr>
          <w:sz w:val="24"/>
          <w:szCs w:val="24"/>
          <w:lang w:val="en-US" w:eastAsia="ru-RU"/>
        </w:rPr>
        <w:t>RUB</w:t>
      </w:r>
      <w:r w:rsidRPr="00FF54FB">
        <w:rPr>
          <w:sz w:val="24"/>
          <w:szCs w:val="24"/>
          <w:lang w:val="en-US" w:eastAsia="ru-RU"/>
        </w:rPr>
        <w:t xml:space="preserve"> – </w:t>
      </w:r>
      <w:r w:rsidR="00FF54FB">
        <w:rPr>
          <w:sz w:val="24"/>
          <w:szCs w:val="24"/>
          <w:lang w:val="en-US" w:eastAsia="ru-RU"/>
        </w:rPr>
        <w:t>increase</w:t>
      </w:r>
      <w:r w:rsidR="00FF54FB" w:rsidRPr="00FF54FB">
        <w:rPr>
          <w:sz w:val="24"/>
          <w:szCs w:val="24"/>
          <w:lang w:val="en-US" w:eastAsia="ru-RU"/>
        </w:rPr>
        <w:t xml:space="preserve"> </w:t>
      </w:r>
      <w:r w:rsidR="00FF54FB">
        <w:rPr>
          <w:sz w:val="24"/>
          <w:szCs w:val="24"/>
          <w:lang w:val="en-US" w:eastAsia="ru-RU"/>
        </w:rPr>
        <w:t>in</w:t>
      </w:r>
      <w:r w:rsidR="00FF54FB" w:rsidRPr="00FF54FB">
        <w:rPr>
          <w:sz w:val="24"/>
          <w:szCs w:val="24"/>
          <w:lang w:val="en-US" w:eastAsia="ru-RU"/>
        </w:rPr>
        <w:t xml:space="preserve"> </w:t>
      </w:r>
      <w:r w:rsidR="00FF54FB">
        <w:rPr>
          <w:sz w:val="24"/>
          <w:szCs w:val="24"/>
          <w:lang w:val="en-US" w:eastAsia="ru-RU"/>
        </w:rPr>
        <w:t>income</w:t>
      </w:r>
      <w:r w:rsidR="00FF54FB" w:rsidRPr="00FF54FB">
        <w:rPr>
          <w:sz w:val="24"/>
          <w:szCs w:val="24"/>
          <w:lang w:val="en-US" w:eastAsia="ru-RU"/>
        </w:rPr>
        <w:t xml:space="preserve"> </w:t>
      </w:r>
      <w:r w:rsidR="00FF54FB" w:rsidRPr="000D113D">
        <w:rPr>
          <w:sz w:val="24"/>
          <w:szCs w:val="24"/>
          <w:lang w:val="en-US" w:eastAsia="ru-RU"/>
        </w:rPr>
        <w:t>in</w:t>
      </w:r>
      <w:r w:rsidR="00FF54FB" w:rsidRPr="00FF54FB">
        <w:rPr>
          <w:sz w:val="24"/>
          <w:szCs w:val="24"/>
          <w:lang w:val="en-US" w:eastAsia="ru-RU"/>
        </w:rPr>
        <w:t xml:space="preserve"> </w:t>
      </w:r>
      <w:r w:rsidR="00FF54FB" w:rsidRPr="000D113D">
        <w:rPr>
          <w:sz w:val="24"/>
          <w:szCs w:val="24"/>
          <w:lang w:val="en-US" w:eastAsia="ru-RU"/>
        </w:rPr>
        <w:t>previous</w:t>
      </w:r>
      <w:r w:rsidR="00FF54FB" w:rsidRPr="00FF54FB">
        <w:rPr>
          <w:sz w:val="24"/>
          <w:szCs w:val="24"/>
          <w:lang w:val="en-US" w:eastAsia="ru-RU"/>
        </w:rPr>
        <w:t xml:space="preserve"> </w:t>
      </w:r>
      <w:r w:rsidR="00FF54FB" w:rsidRPr="000D113D">
        <w:rPr>
          <w:sz w:val="24"/>
          <w:szCs w:val="24"/>
          <w:lang w:val="en-US" w:eastAsia="ru-RU"/>
        </w:rPr>
        <w:t>periods</w:t>
      </w:r>
      <w:r w:rsidR="00FF54FB" w:rsidRPr="00FF54FB">
        <w:rPr>
          <w:sz w:val="24"/>
          <w:szCs w:val="24"/>
          <w:lang w:val="en-US" w:eastAsia="ru-RU"/>
        </w:rPr>
        <w:t xml:space="preserve"> </w:t>
      </w:r>
      <w:r w:rsidR="00FF54FB" w:rsidRPr="000D113D">
        <w:rPr>
          <w:sz w:val="24"/>
          <w:szCs w:val="24"/>
          <w:lang w:val="en-US" w:eastAsia="ru-RU"/>
        </w:rPr>
        <w:t>for</w:t>
      </w:r>
      <w:r w:rsidR="00FF54FB" w:rsidRPr="00FF54FB">
        <w:rPr>
          <w:sz w:val="24"/>
          <w:szCs w:val="24"/>
          <w:lang w:val="en-US" w:eastAsia="ru-RU"/>
        </w:rPr>
        <w:t xml:space="preserve"> </w:t>
      </w:r>
      <w:r w:rsidR="00FF54FB" w:rsidRPr="000D113D">
        <w:rPr>
          <w:sz w:val="24"/>
          <w:szCs w:val="24"/>
          <w:lang w:val="en-US" w:eastAsia="ru-RU"/>
        </w:rPr>
        <w:t>electricity</w:t>
      </w:r>
      <w:r w:rsidR="00FF54FB" w:rsidRPr="00FF54FB">
        <w:rPr>
          <w:sz w:val="24"/>
          <w:szCs w:val="24"/>
          <w:lang w:val="en-US" w:eastAsia="ru-RU"/>
        </w:rPr>
        <w:t xml:space="preserve"> </w:t>
      </w:r>
      <w:r w:rsidR="00FF54FB" w:rsidRPr="000D113D">
        <w:rPr>
          <w:sz w:val="24"/>
          <w:szCs w:val="24"/>
          <w:lang w:val="en-US" w:eastAsia="ru-RU"/>
        </w:rPr>
        <w:t>transmission</w:t>
      </w:r>
      <w:r w:rsidR="00FF54FB" w:rsidRPr="00FF54FB">
        <w:rPr>
          <w:sz w:val="24"/>
          <w:szCs w:val="24"/>
          <w:lang w:val="en-US" w:eastAsia="ru-RU"/>
        </w:rPr>
        <w:t xml:space="preserve">, </w:t>
      </w:r>
      <w:r w:rsidR="00FF54FB" w:rsidRPr="000D113D">
        <w:rPr>
          <w:sz w:val="24"/>
          <w:szCs w:val="24"/>
          <w:lang w:val="en-US" w:eastAsia="ru-RU"/>
        </w:rPr>
        <w:t>contractual</w:t>
      </w:r>
      <w:r w:rsidR="00FF54FB" w:rsidRPr="00FF54FB">
        <w:rPr>
          <w:sz w:val="24"/>
          <w:szCs w:val="24"/>
          <w:lang w:val="en-US" w:eastAsia="ru-RU"/>
        </w:rPr>
        <w:t xml:space="preserve"> </w:t>
      </w:r>
      <w:r w:rsidR="00FF54FB" w:rsidRPr="000D113D">
        <w:rPr>
          <w:sz w:val="24"/>
          <w:szCs w:val="24"/>
          <w:lang w:val="en-US" w:eastAsia="ru-RU"/>
        </w:rPr>
        <w:t>compensation</w:t>
      </w:r>
      <w:r w:rsidR="00FF54FB" w:rsidRPr="00FF54FB">
        <w:rPr>
          <w:sz w:val="24"/>
          <w:szCs w:val="24"/>
          <w:lang w:val="en-US" w:eastAsia="ru-RU"/>
        </w:rPr>
        <w:t xml:space="preserve"> </w:t>
      </w:r>
      <w:r w:rsidR="00FF54FB" w:rsidRPr="000D113D">
        <w:rPr>
          <w:sz w:val="24"/>
          <w:szCs w:val="24"/>
          <w:lang w:val="en-US" w:eastAsia="ru-RU"/>
        </w:rPr>
        <w:t>of</w:t>
      </w:r>
      <w:r w:rsidR="00FF54FB" w:rsidRPr="00FF54FB">
        <w:rPr>
          <w:sz w:val="24"/>
          <w:szCs w:val="24"/>
          <w:lang w:val="en-US" w:eastAsia="ru-RU"/>
        </w:rPr>
        <w:t xml:space="preserve"> </w:t>
      </w:r>
      <w:r w:rsidR="00FF54FB" w:rsidRPr="000D113D">
        <w:rPr>
          <w:sz w:val="24"/>
          <w:szCs w:val="24"/>
          <w:lang w:val="en-US" w:eastAsia="ru-RU"/>
        </w:rPr>
        <w:t>electricity</w:t>
      </w:r>
      <w:r w:rsidR="00FF54FB" w:rsidRPr="00FF54FB">
        <w:rPr>
          <w:sz w:val="24"/>
          <w:szCs w:val="24"/>
          <w:lang w:val="en-US" w:eastAsia="ru-RU"/>
        </w:rPr>
        <w:t xml:space="preserve"> </w:t>
      </w:r>
      <w:r w:rsidR="00FF54FB" w:rsidRPr="000D113D">
        <w:rPr>
          <w:sz w:val="24"/>
          <w:szCs w:val="24"/>
          <w:lang w:val="en-US" w:eastAsia="ru-RU"/>
        </w:rPr>
        <w:t>losses</w:t>
      </w:r>
      <w:r w:rsidR="00FF54FB" w:rsidRPr="00FF54FB">
        <w:rPr>
          <w:sz w:val="24"/>
          <w:szCs w:val="24"/>
          <w:lang w:val="en-US" w:eastAsia="ru-RU"/>
        </w:rPr>
        <w:t xml:space="preserve"> </w:t>
      </w:r>
      <w:r w:rsidR="00FF54FB" w:rsidRPr="000D113D">
        <w:rPr>
          <w:sz w:val="24"/>
          <w:szCs w:val="24"/>
          <w:lang w:val="en-US" w:eastAsia="ru-RU"/>
        </w:rPr>
        <w:t>in</w:t>
      </w:r>
      <w:r w:rsidR="00FF54FB" w:rsidRPr="00FF54FB">
        <w:rPr>
          <w:sz w:val="24"/>
          <w:szCs w:val="24"/>
          <w:lang w:val="en-US" w:eastAsia="ru-RU"/>
        </w:rPr>
        <w:t xml:space="preserve"> </w:t>
      </w:r>
      <w:r w:rsidR="00FF54FB" w:rsidRPr="000D113D">
        <w:rPr>
          <w:sz w:val="24"/>
          <w:szCs w:val="24"/>
          <w:lang w:val="en-US" w:eastAsia="ru-RU"/>
        </w:rPr>
        <w:t>connection</w:t>
      </w:r>
      <w:r w:rsidR="00FF54FB" w:rsidRPr="00FF54FB">
        <w:rPr>
          <w:sz w:val="24"/>
          <w:szCs w:val="24"/>
          <w:lang w:val="en-US" w:eastAsia="ru-RU"/>
        </w:rPr>
        <w:t xml:space="preserve"> </w:t>
      </w:r>
      <w:r w:rsidR="00FF54FB" w:rsidRPr="000D113D">
        <w:rPr>
          <w:sz w:val="24"/>
          <w:szCs w:val="24"/>
          <w:lang w:val="en-US" w:eastAsia="ru-RU"/>
        </w:rPr>
        <w:t>with</w:t>
      </w:r>
      <w:r w:rsidR="00FF54FB" w:rsidRPr="00FF54FB">
        <w:rPr>
          <w:sz w:val="24"/>
          <w:szCs w:val="24"/>
          <w:lang w:val="en-US" w:eastAsia="ru-RU"/>
        </w:rPr>
        <w:t xml:space="preserve"> </w:t>
      </w:r>
      <w:r w:rsidR="00FF54FB" w:rsidRPr="000D113D">
        <w:rPr>
          <w:sz w:val="24"/>
          <w:szCs w:val="24"/>
          <w:lang w:val="en-US" w:eastAsia="ru-RU"/>
        </w:rPr>
        <w:t>the</w:t>
      </w:r>
      <w:r w:rsidR="00FF54FB" w:rsidRPr="00FF54FB">
        <w:rPr>
          <w:sz w:val="24"/>
          <w:szCs w:val="24"/>
          <w:lang w:val="en-US" w:eastAsia="ru-RU"/>
        </w:rPr>
        <w:t xml:space="preserve"> </w:t>
      </w:r>
      <w:r w:rsidR="00FF54FB" w:rsidRPr="000D113D">
        <w:rPr>
          <w:sz w:val="24"/>
          <w:szCs w:val="24"/>
          <w:lang w:val="en-US" w:eastAsia="ru-RU"/>
        </w:rPr>
        <w:t>settlement</w:t>
      </w:r>
      <w:r w:rsidR="00FF54FB" w:rsidRPr="00FF54FB">
        <w:rPr>
          <w:sz w:val="24"/>
          <w:szCs w:val="24"/>
          <w:lang w:val="en-US" w:eastAsia="ru-RU"/>
        </w:rPr>
        <w:t xml:space="preserve"> </w:t>
      </w:r>
      <w:r w:rsidR="00FF54FB" w:rsidRPr="000D113D">
        <w:rPr>
          <w:sz w:val="24"/>
          <w:szCs w:val="24"/>
          <w:lang w:val="en-US" w:eastAsia="ru-RU"/>
        </w:rPr>
        <w:t>of</w:t>
      </w:r>
      <w:r w:rsidR="00FF54FB" w:rsidRPr="00FF54FB">
        <w:rPr>
          <w:sz w:val="24"/>
          <w:szCs w:val="24"/>
          <w:lang w:val="en-US" w:eastAsia="ru-RU"/>
        </w:rPr>
        <w:t xml:space="preserve"> </w:t>
      </w:r>
      <w:r w:rsidR="00FF54FB" w:rsidRPr="000D113D">
        <w:rPr>
          <w:sz w:val="24"/>
          <w:szCs w:val="24"/>
          <w:lang w:val="en-US" w:eastAsia="ru-RU"/>
        </w:rPr>
        <w:t>disputes</w:t>
      </w:r>
      <w:r w:rsidR="00FF54FB" w:rsidRPr="00FF54FB">
        <w:rPr>
          <w:sz w:val="24"/>
          <w:szCs w:val="24"/>
          <w:lang w:val="en-US" w:eastAsia="ru-RU"/>
        </w:rPr>
        <w:t xml:space="preserve">, </w:t>
      </w:r>
      <w:r w:rsidR="00FF54FB" w:rsidRPr="000D113D">
        <w:rPr>
          <w:sz w:val="24"/>
          <w:szCs w:val="24"/>
          <w:lang w:val="en-US" w:eastAsia="ru-RU"/>
        </w:rPr>
        <w:t>as</w:t>
      </w:r>
      <w:r w:rsidR="00FF54FB" w:rsidRPr="00FF54FB">
        <w:rPr>
          <w:sz w:val="24"/>
          <w:szCs w:val="24"/>
          <w:lang w:val="en-US" w:eastAsia="ru-RU"/>
        </w:rPr>
        <w:t xml:space="preserve"> </w:t>
      </w:r>
      <w:r w:rsidR="00FF54FB" w:rsidRPr="000D113D">
        <w:rPr>
          <w:sz w:val="24"/>
          <w:szCs w:val="24"/>
          <w:lang w:val="en-US" w:eastAsia="ru-RU"/>
        </w:rPr>
        <w:t>well</w:t>
      </w:r>
      <w:r w:rsidR="00FF54FB" w:rsidRPr="00FF54FB">
        <w:rPr>
          <w:sz w:val="24"/>
          <w:szCs w:val="24"/>
          <w:lang w:val="en-US" w:eastAsia="ru-RU"/>
        </w:rPr>
        <w:t xml:space="preserve"> </w:t>
      </w:r>
      <w:r w:rsidR="00FF54FB" w:rsidRPr="000D113D">
        <w:rPr>
          <w:sz w:val="24"/>
          <w:szCs w:val="24"/>
          <w:lang w:val="en-US" w:eastAsia="ru-RU"/>
        </w:rPr>
        <w:t>as</w:t>
      </w:r>
      <w:r w:rsidR="00FF54FB" w:rsidRPr="00FF54FB">
        <w:rPr>
          <w:sz w:val="24"/>
          <w:szCs w:val="24"/>
          <w:lang w:val="en-US" w:eastAsia="ru-RU"/>
        </w:rPr>
        <w:t xml:space="preserve"> </w:t>
      </w:r>
      <w:r w:rsidR="00FF54FB" w:rsidRPr="000D113D">
        <w:rPr>
          <w:sz w:val="24"/>
          <w:szCs w:val="24"/>
          <w:lang w:val="en-US" w:eastAsia="ru-RU"/>
        </w:rPr>
        <w:t>on</w:t>
      </w:r>
      <w:r w:rsidR="00FF54FB" w:rsidRPr="00FF54FB">
        <w:rPr>
          <w:sz w:val="24"/>
          <w:szCs w:val="24"/>
          <w:lang w:val="en-US" w:eastAsia="ru-RU"/>
        </w:rPr>
        <w:t xml:space="preserve"> </w:t>
      </w:r>
      <w:r w:rsidR="00FF54FB" w:rsidRPr="000D113D">
        <w:rPr>
          <w:sz w:val="24"/>
          <w:szCs w:val="24"/>
          <w:lang w:val="en-US" w:eastAsia="ru-RU"/>
        </w:rPr>
        <w:t>the</w:t>
      </w:r>
      <w:r w:rsidR="00FF54FB" w:rsidRPr="00FF54FB">
        <w:rPr>
          <w:sz w:val="24"/>
          <w:szCs w:val="24"/>
          <w:lang w:val="en-US" w:eastAsia="ru-RU"/>
        </w:rPr>
        <w:t xml:space="preserve"> </w:t>
      </w:r>
      <w:r w:rsidR="00FF54FB" w:rsidRPr="000D113D">
        <w:rPr>
          <w:sz w:val="24"/>
          <w:szCs w:val="24"/>
          <w:lang w:val="en-US" w:eastAsia="ru-RU"/>
        </w:rPr>
        <w:t>basis</w:t>
      </w:r>
      <w:r w:rsidR="00FF54FB" w:rsidRPr="00FF54FB">
        <w:rPr>
          <w:sz w:val="24"/>
          <w:szCs w:val="24"/>
          <w:lang w:val="en-US" w:eastAsia="ru-RU"/>
        </w:rPr>
        <w:t xml:space="preserve"> </w:t>
      </w:r>
      <w:r w:rsidR="00FF54FB" w:rsidRPr="000D113D">
        <w:rPr>
          <w:sz w:val="24"/>
          <w:szCs w:val="24"/>
          <w:lang w:val="en-US" w:eastAsia="ru-RU"/>
        </w:rPr>
        <w:t>of</w:t>
      </w:r>
      <w:r w:rsidR="00FF54FB" w:rsidRPr="00FF54FB">
        <w:rPr>
          <w:sz w:val="24"/>
          <w:szCs w:val="24"/>
          <w:lang w:val="en-US" w:eastAsia="ru-RU"/>
        </w:rPr>
        <w:t xml:space="preserve"> </w:t>
      </w:r>
      <w:r w:rsidR="00FF54FB" w:rsidRPr="000D113D">
        <w:rPr>
          <w:sz w:val="24"/>
          <w:szCs w:val="24"/>
          <w:lang w:val="en-US" w:eastAsia="ru-RU"/>
        </w:rPr>
        <w:t>decisions</w:t>
      </w:r>
      <w:r w:rsidR="00FF54FB" w:rsidRPr="00FF54FB">
        <w:rPr>
          <w:sz w:val="24"/>
          <w:szCs w:val="24"/>
          <w:lang w:val="en-US" w:eastAsia="ru-RU"/>
        </w:rPr>
        <w:t xml:space="preserve"> </w:t>
      </w:r>
      <w:r w:rsidR="00FF54FB" w:rsidRPr="000D113D">
        <w:rPr>
          <w:sz w:val="24"/>
          <w:szCs w:val="24"/>
          <w:lang w:val="en-US" w:eastAsia="ru-RU"/>
        </w:rPr>
        <w:t>of</w:t>
      </w:r>
      <w:r w:rsidR="00FF54FB" w:rsidRPr="00FF54FB">
        <w:rPr>
          <w:sz w:val="24"/>
          <w:szCs w:val="24"/>
          <w:lang w:val="en-US" w:eastAsia="ru-RU"/>
        </w:rPr>
        <w:t xml:space="preserve"> </w:t>
      </w:r>
      <w:r w:rsidR="00FF54FB" w:rsidRPr="000D113D">
        <w:rPr>
          <w:sz w:val="24"/>
          <w:szCs w:val="24"/>
          <w:lang w:val="en-US" w:eastAsia="ru-RU"/>
        </w:rPr>
        <w:t>arbitration</w:t>
      </w:r>
      <w:r w:rsidR="00FF54FB" w:rsidRPr="00FF54FB">
        <w:rPr>
          <w:sz w:val="24"/>
          <w:szCs w:val="24"/>
          <w:lang w:val="en-US" w:eastAsia="ru-RU"/>
        </w:rPr>
        <w:t xml:space="preserve"> </w:t>
      </w:r>
      <w:r w:rsidR="00FF54FB" w:rsidRPr="000D113D">
        <w:rPr>
          <w:sz w:val="24"/>
          <w:szCs w:val="24"/>
          <w:lang w:val="en-US" w:eastAsia="ru-RU"/>
        </w:rPr>
        <w:t>courts</w:t>
      </w:r>
      <w:r w:rsidR="00FF54FB" w:rsidRPr="00FF54FB">
        <w:rPr>
          <w:sz w:val="24"/>
          <w:szCs w:val="24"/>
          <w:lang w:val="en-US" w:eastAsia="ru-RU"/>
        </w:rPr>
        <w:t xml:space="preserve"> </w:t>
      </w:r>
      <w:r w:rsidR="001620B7" w:rsidRPr="00FF54FB">
        <w:rPr>
          <w:sz w:val="24"/>
          <w:szCs w:val="24"/>
          <w:lang w:val="en-US" w:eastAsia="ru-RU"/>
        </w:rPr>
        <w:t>(</w:t>
      </w:r>
      <w:r w:rsidR="00FF54FB">
        <w:rPr>
          <w:sz w:val="24"/>
          <w:szCs w:val="24"/>
          <w:lang w:val="en-US" w:eastAsia="ru-RU"/>
        </w:rPr>
        <w:t xml:space="preserve">out of them the sum of </w:t>
      </w:r>
      <w:r w:rsidR="001620B7" w:rsidRPr="00FF54FB">
        <w:rPr>
          <w:sz w:val="24"/>
          <w:szCs w:val="24"/>
          <w:lang w:val="en-US" w:eastAsia="ru-RU"/>
        </w:rPr>
        <w:t xml:space="preserve">574 515 </w:t>
      </w:r>
      <w:proofErr w:type="spellStart"/>
      <w:r w:rsidR="008F47BD" w:rsidRPr="00FF54FB">
        <w:rPr>
          <w:sz w:val="24"/>
          <w:szCs w:val="24"/>
          <w:lang w:val="en-US" w:eastAsia="ru-RU"/>
        </w:rPr>
        <w:t>thous</w:t>
      </w:r>
      <w:proofErr w:type="spellEnd"/>
      <w:r w:rsidR="008F47BD" w:rsidRPr="00FF54FB">
        <w:rPr>
          <w:sz w:val="24"/>
          <w:szCs w:val="24"/>
          <w:lang w:val="en-US" w:eastAsia="ru-RU"/>
        </w:rPr>
        <w:t xml:space="preserve">. </w:t>
      </w:r>
      <w:proofErr w:type="gramStart"/>
      <w:r w:rsidR="008F47BD">
        <w:rPr>
          <w:sz w:val="24"/>
          <w:szCs w:val="24"/>
          <w:lang w:val="ru-RU" w:eastAsia="ru-RU"/>
        </w:rPr>
        <w:t>RUB</w:t>
      </w:r>
      <w:r w:rsidR="001620B7">
        <w:rPr>
          <w:sz w:val="24"/>
          <w:szCs w:val="24"/>
          <w:lang w:val="ru-RU" w:eastAsia="ru-RU"/>
        </w:rPr>
        <w:t xml:space="preserve"> </w:t>
      </w:r>
      <w:r w:rsidR="00FF54FB">
        <w:rPr>
          <w:sz w:val="24"/>
          <w:szCs w:val="24"/>
          <w:lang w:val="en-US" w:eastAsia="ru-RU"/>
        </w:rPr>
        <w:t>refers</w:t>
      </w:r>
      <w:r w:rsidR="00FF54FB" w:rsidRPr="00FF54FB">
        <w:rPr>
          <w:sz w:val="24"/>
          <w:szCs w:val="24"/>
          <w:lang w:val="ru-RU" w:eastAsia="ru-RU"/>
        </w:rPr>
        <w:t xml:space="preserve"> </w:t>
      </w:r>
      <w:r w:rsidR="00FF54FB">
        <w:rPr>
          <w:sz w:val="24"/>
          <w:szCs w:val="24"/>
          <w:lang w:val="en-US" w:eastAsia="ru-RU"/>
        </w:rPr>
        <w:t>to</w:t>
      </w:r>
      <w:r w:rsidR="00FF54FB" w:rsidRPr="00FF54FB">
        <w:rPr>
          <w:sz w:val="24"/>
          <w:szCs w:val="24"/>
          <w:lang w:val="ru-RU" w:eastAsia="ru-RU"/>
        </w:rPr>
        <w:t xml:space="preserve"> OJSC "NLMK"</w:t>
      </w:r>
      <w:r w:rsidR="001620B7">
        <w:rPr>
          <w:sz w:val="24"/>
          <w:szCs w:val="24"/>
          <w:lang w:val="ru-RU" w:eastAsia="ru-RU"/>
        </w:rPr>
        <w:t>)</w:t>
      </w:r>
      <w:r w:rsidRPr="008723BB">
        <w:rPr>
          <w:sz w:val="24"/>
          <w:szCs w:val="24"/>
          <w:lang w:val="ru-RU" w:eastAsia="ru-RU"/>
        </w:rPr>
        <w:t>;</w:t>
      </w:r>
      <w:proofErr w:type="gramEnd"/>
    </w:p>
    <w:p w:rsidR="008723BB" w:rsidRPr="00E27B84" w:rsidRDefault="00530F58" w:rsidP="00E37AB5">
      <w:pPr>
        <w:pStyle w:val="ab"/>
        <w:numPr>
          <w:ilvl w:val="0"/>
          <w:numId w:val="11"/>
        </w:numPr>
        <w:jc w:val="both"/>
        <w:rPr>
          <w:sz w:val="24"/>
          <w:szCs w:val="24"/>
          <w:lang w:val="en-US" w:eastAsia="ru-RU"/>
        </w:rPr>
      </w:pPr>
      <w:r w:rsidRPr="00726828">
        <w:rPr>
          <w:sz w:val="24"/>
          <w:szCs w:val="24"/>
          <w:lang w:val="en-US" w:eastAsia="ru-RU"/>
        </w:rPr>
        <w:t>23</w:t>
      </w:r>
      <w:r w:rsidRPr="008723BB">
        <w:rPr>
          <w:sz w:val="24"/>
          <w:szCs w:val="24"/>
          <w:lang w:eastAsia="ru-RU"/>
        </w:rPr>
        <w:t> </w:t>
      </w:r>
      <w:r w:rsidR="008723BB" w:rsidRPr="00726828">
        <w:rPr>
          <w:sz w:val="24"/>
          <w:szCs w:val="24"/>
          <w:lang w:val="en-US" w:eastAsia="ru-RU"/>
        </w:rPr>
        <w:t xml:space="preserve">913 </w:t>
      </w:r>
      <w:proofErr w:type="spellStart"/>
      <w:r w:rsidR="00E27B84" w:rsidRPr="000D113D">
        <w:rPr>
          <w:sz w:val="24"/>
          <w:szCs w:val="24"/>
          <w:lang w:val="en-US" w:eastAsia="ru-RU"/>
        </w:rPr>
        <w:t>thous</w:t>
      </w:r>
      <w:proofErr w:type="spellEnd"/>
      <w:r w:rsidR="00E27B84" w:rsidRPr="00726828">
        <w:rPr>
          <w:sz w:val="24"/>
          <w:szCs w:val="24"/>
          <w:lang w:val="en-US" w:eastAsia="ru-RU"/>
        </w:rPr>
        <w:t xml:space="preserve">. </w:t>
      </w:r>
      <w:r w:rsidR="00E27B84">
        <w:rPr>
          <w:sz w:val="24"/>
          <w:szCs w:val="24"/>
          <w:lang w:val="en-US" w:eastAsia="ru-RU"/>
        </w:rPr>
        <w:t>RUB</w:t>
      </w:r>
      <w:r w:rsidR="008723BB" w:rsidRPr="00E27B84">
        <w:rPr>
          <w:sz w:val="24"/>
          <w:szCs w:val="24"/>
          <w:lang w:val="en-US" w:eastAsia="ru-RU"/>
        </w:rPr>
        <w:t xml:space="preserve"> – </w:t>
      </w:r>
      <w:r w:rsidR="00E27B84" w:rsidRPr="000D113D">
        <w:rPr>
          <w:sz w:val="24"/>
          <w:szCs w:val="24"/>
          <w:lang w:val="en-US" w:eastAsia="ru-RU"/>
        </w:rPr>
        <w:t>recorded revenues arising from the reflection of the non-contractual acts of consumption</w:t>
      </w:r>
      <w:r w:rsidRPr="00E27B84">
        <w:rPr>
          <w:sz w:val="24"/>
          <w:szCs w:val="24"/>
          <w:lang w:val="en-US" w:eastAsia="ru-RU"/>
        </w:rPr>
        <w:t>;</w:t>
      </w:r>
    </w:p>
    <w:p w:rsidR="00530F58" w:rsidRPr="008723BB" w:rsidRDefault="00530F58" w:rsidP="00E37AB5">
      <w:pPr>
        <w:pStyle w:val="ab"/>
        <w:numPr>
          <w:ilvl w:val="0"/>
          <w:numId w:val="11"/>
        </w:numPr>
        <w:jc w:val="both"/>
        <w:rPr>
          <w:sz w:val="24"/>
          <w:szCs w:val="24"/>
          <w:lang w:val="ru-RU" w:eastAsia="ru-RU"/>
        </w:rPr>
      </w:pPr>
      <w:r w:rsidRPr="008723BB">
        <w:rPr>
          <w:sz w:val="24"/>
          <w:szCs w:val="24"/>
          <w:lang w:val="ru-RU" w:eastAsia="ru-RU"/>
        </w:rPr>
        <w:t>129 190</w:t>
      </w:r>
      <w:r w:rsidRPr="008723BB">
        <w:rPr>
          <w:sz w:val="24"/>
          <w:szCs w:val="24"/>
          <w:lang w:eastAsia="ru-RU"/>
        </w:rPr>
        <w:t> </w:t>
      </w:r>
      <w:r w:rsidRPr="008723BB">
        <w:rPr>
          <w:sz w:val="24"/>
          <w:szCs w:val="24"/>
          <w:lang w:val="ru-RU" w:eastAsia="ru-RU"/>
        </w:rPr>
        <w:t xml:space="preserve"> </w:t>
      </w:r>
      <w:proofErr w:type="spellStart"/>
      <w:r w:rsidR="00E27B84" w:rsidRPr="000D113D">
        <w:rPr>
          <w:sz w:val="24"/>
          <w:szCs w:val="24"/>
          <w:lang w:val="en-US" w:eastAsia="ru-RU"/>
        </w:rPr>
        <w:t>thous</w:t>
      </w:r>
      <w:proofErr w:type="spellEnd"/>
      <w:r w:rsidR="00E27B84" w:rsidRPr="00FF54FB">
        <w:rPr>
          <w:sz w:val="24"/>
          <w:szCs w:val="24"/>
          <w:lang w:val="ru-RU" w:eastAsia="ru-RU"/>
        </w:rPr>
        <w:t xml:space="preserve">. </w:t>
      </w:r>
      <w:r w:rsidR="00E27B84">
        <w:rPr>
          <w:sz w:val="24"/>
          <w:szCs w:val="24"/>
          <w:lang w:val="en-US" w:eastAsia="ru-RU"/>
        </w:rPr>
        <w:t>RUB</w:t>
      </w:r>
      <w:r w:rsidRPr="008723BB">
        <w:rPr>
          <w:sz w:val="24"/>
          <w:szCs w:val="24"/>
          <w:lang w:val="ru-RU" w:eastAsia="ru-RU"/>
        </w:rPr>
        <w:t xml:space="preserve"> – </w:t>
      </w:r>
      <w:r w:rsidR="00E27B84" w:rsidRPr="000D113D">
        <w:rPr>
          <w:sz w:val="24"/>
          <w:szCs w:val="24"/>
          <w:lang w:val="en-US" w:eastAsia="ru-RU"/>
        </w:rPr>
        <w:t>other income</w:t>
      </w:r>
      <w:r w:rsidRPr="008723BB">
        <w:rPr>
          <w:sz w:val="24"/>
          <w:szCs w:val="24"/>
          <w:lang w:val="ru-RU" w:eastAsia="ru-RU"/>
        </w:rPr>
        <w:t>.</w:t>
      </w:r>
    </w:p>
    <w:p w:rsidR="00530F58" w:rsidRPr="00E3188C" w:rsidRDefault="00530F58" w:rsidP="00530F58">
      <w:pPr>
        <w:ind w:firstLine="709"/>
        <w:jc w:val="both"/>
        <w:rPr>
          <w:sz w:val="24"/>
          <w:szCs w:val="24"/>
          <w:lang w:val="ru-RU" w:eastAsia="ru-RU"/>
        </w:rPr>
      </w:pPr>
    </w:p>
    <w:p w:rsidR="008723BB" w:rsidRPr="004D7208" w:rsidRDefault="004D7208" w:rsidP="008723BB">
      <w:pPr>
        <w:ind w:firstLine="709"/>
        <w:jc w:val="both"/>
        <w:rPr>
          <w:sz w:val="24"/>
          <w:szCs w:val="24"/>
          <w:lang w:val="en-US" w:eastAsia="ru-RU"/>
        </w:rPr>
      </w:pPr>
      <w:r w:rsidRPr="000D113D">
        <w:rPr>
          <w:sz w:val="24"/>
          <w:szCs w:val="24"/>
          <w:lang w:val="en-US" w:eastAsia="ru-RU"/>
        </w:rPr>
        <w:t>In accounting IDGC of Centre for previous reporting periods identified and recorded in 201</w:t>
      </w:r>
      <w:r>
        <w:rPr>
          <w:sz w:val="24"/>
          <w:szCs w:val="24"/>
          <w:lang w:val="en-US" w:eastAsia="ru-RU"/>
        </w:rPr>
        <w:t xml:space="preserve">4 </w:t>
      </w:r>
      <w:r w:rsidRPr="000D113D">
        <w:rPr>
          <w:sz w:val="24"/>
          <w:szCs w:val="24"/>
          <w:lang w:val="en-US" w:eastAsia="ru-RU"/>
        </w:rPr>
        <w:t xml:space="preserve">as losses of previous years the costs in the amount of </w:t>
      </w:r>
      <w:r w:rsidR="00530F58" w:rsidRPr="004D7208">
        <w:rPr>
          <w:sz w:val="24"/>
          <w:szCs w:val="24"/>
          <w:lang w:val="en-US" w:eastAsia="ru-RU"/>
        </w:rPr>
        <w:t>2</w:t>
      </w:r>
      <w:r w:rsidR="00530F58" w:rsidRPr="00E3188C">
        <w:rPr>
          <w:sz w:val="24"/>
          <w:szCs w:val="24"/>
          <w:lang w:eastAsia="ru-RU"/>
        </w:rPr>
        <w:t> </w:t>
      </w:r>
      <w:r w:rsidR="00530F58" w:rsidRPr="004D7208">
        <w:rPr>
          <w:sz w:val="24"/>
          <w:szCs w:val="24"/>
          <w:lang w:val="en-US" w:eastAsia="ru-RU"/>
        </w:rPr>
        <w:t xml:space="preserve">233 014 </w:t>
      </w:r>
      <w:proofErr w:type="spellStart"/>
      <w:r w:rsidRPr="004D7208">
        <w:rPr>
          <w:sz w:val="24"/>
          <w:szCs w:val="24"/>
          <w:lang w:val="en-US" w:eastAsia="ru-RU"/>
        </w:rPr>
        <w:t>thous</w:t>
      </w:r>
      <w:proofErr w:type="spellEnd"/>
      <w:r w:rsidRPr="004D7208">
        <w:rPr>
          <w:sz w:val="24"/>
          <w:szCs w:val="24"/>
          <w:lang w:val="en-US" w:eastAsia="ru-RU"/>
        </w:rPr>
        <w:t xml:space="preserve">. </w:t>
      </w:r>
      <w:r>
        <w:rPr>
          <w:sz w:val="24"/>
          <w:szCs w:val="24"/>
          <w:lang w:val="ru-RU" w:eastAsia="ru-RU"/>
        </w:rPr>
        <w:t>RUB</w:t>
      </w:r>
      <w:r w:rsidR="00530F58" w:rsidRPr="004D7208">
        <w:rPr>
          <w:sz w:val="24"/>
          <w:szCs w:val="24"/>
          <w:lang w:val="en-US" w:eastAsia="ru-RU"/>
        </w:rPr>
        <w:t xml:space="preserve">, </w:t>
      </w:r>
      <w:r w:rsidR="00FD3886" w:rsidRPr="004D7208">
        <w:rPr>
          <w:sz w:val="24"/>
          <w:szCs w:val="24"/>
          <w:lang w:val="en-US" w:eastAsia="ru-RU"/>
        </w:rPr>
        <w:t>including</w:t>
      </w:r>
      <w:r w:rsidR="00530F58" w:rsidRPr="004D7208">
        <w:rPr>
          <w:sz w:val="24"/>
          <w:szCs w:val="24"/>
          <w:lang w:val="en-US" w:eastAsia="ru-RU"/>
        </w:rPr>
        <w:t>:</w:t>
      </w:r>
    </w:p>
    <w:p w:rsidR="008723BB" w:rsidRDefault="00530F58" w:rsidP="00E37AB5">
      <w:pPr>
        <w:pStyle w:val="ab"/>
        <w:numPr>
          <w:ilvl w:val="0"/>
          <w:numId w:val="12"/>
        </w:numPr>
        <w:jc w:val="both"/>
        <w:rPr>
          <w:sz w:val="24"/>
          <w:szCs w:val="24"/>
          <w:lang w:val="ru-RU" w:eastAsia="ru-RU"/>
        </w:rPr>
      </w:pPr>
      <w:r w:rsidRPr="00726828">
        <w:rPr>
          <w:sz w:val="24"/>
          <w:szCs w:val="24"/>
          <w:lang w:val="en-US" w:eastAsia="ru-RU"/>
        </w:rPr>
        <w:t>991 352</w:t>
      </w:r>
      <w:proofErr w:type="gramStart"/>
      <w:r w:rsidRPr="008723BB">
        <w:rPr>
          <w:sz w:val="24"/>
          <w:szCs w:val="24"/>
          <w:lang w:eastAsia="ru-RU"/>
        </w:rPr>
        <w:t> </w:t>
      </w:r>
      <w:r w:rsidRPr="00726828">
        <w:rPr>
          <w:sz w:val="24"/>
          <w:szCs w:val="24"/>
          <w:lang w:val="en-US" w:eastAsia="ru-RU"/>
        </w:rPr>
        <w:t xml:space="preserve"> </w:t>
      </w:r>
      <w:proofErr w:type="spellStart"/>
      <w:r w:rsidR="004D7208" w:rsidRPr="00726828">
        <w:rPr>
          <w:sz w:val="24"/>
          <w:szCs w:val="24"/>
          <w:lang w:val="en-US" w:eastAsia="ru-RU"/>
        </w:rPr>
        <w:t>thous</w:t>
      </w:r>
      <w:proofErr w:type="spellEnd"/>
      <w:proofErr w:type="gramEnd"/>
      <w:r w:rsidR="004D7208" w:rsidRPr="00726828">
        <w:rPr>
          <w:sz w:val="24"/>
          <w:szCs w:val="24"/>
          <w:lang w:val="en-US" w:eastAsia="ru-RU"/>
        </w:rPr>
        <w:t xml:space="preserve">. </w:t>
      </w:r>
      <w:r w:rsidR="004D7208" w:rsidRPr="007551F8">
        <w:rPr>
          <w:sz w:val="24"/>
          <w:szCs w:val="24"/>
          <w:lang w:val="en-US" w:eastAsia="ru-RU"/>
        </w:rPr>
        <w:t>RUB</w:t>
      </w:r>
      <w:r w:rsidR="0017459D">
        <w:rPr>
          <w:sz w:val="24"/>
          <w:szCs w:val="24"/>
          <w:lang w:val="en-US" w:eastAsia="ru-RU"/>
        </w:rPr>
        <w:t xml:space="preserve"> – </w:t>
      </w:r>
      <w:r w:rsidR="007551F8" w:rsidRPr="000D113D">
        <w:rPr>
          <w:sz w:val="24"/>
          <w:szCs w:val="24"/>
          <w:lang w:val="en-US" w:eastAsia="ru-RU"/>
        </w:rPr>
        <w:t>decrease in revenues reflected in accounting of IDGC of Centre for electricity transmission contracts in connection with the settlement of disputes, as well as on the basis of decisions of arbitration courts</w:t>
      </w:r>
      <w:r w:rsidR="007551F8">
        <w:rPr>
          <w:sz w:val="24"/>
          <w:szCs w:val="24"/>
          <w:lang w:val="en-US" w:eastAsia="ru-RU"/>
        </w:rPr>
        <w:t xml:space="preserve"> </w:t>
      </w:r>
      <w:r w:rsidR="00CB5F06" w:rsidRPr="007551F8">
        <w:rPr>
          <w:sz w:val="24"/>
          <w:szCs w:val="24"/>
          <w:lang w:val="en-US" w:eastAsia="ru-RU"/>
        </w:rPr>
        <w:t>(</w:t>
      </w:r>
      <w:r w:rsidR="0017459D">
        <w:rPr>
          <w:sz w:val="24"/>
          <w:szCs w:val="24"/>
          <w:lang w:val="en-US" w:eastAsia="ru-RU"/>
        </w:rPr>
        <w:t>out of them the sum of</w:t>
      </w:r>
      <w:r w:rsidR="0017459D" w:rsidRPr="007551F8">
        <w:rPr>
          <w:sz w:val="24"/>
          <w:szCs w:val="24"/>
          <w:lang w:val="en-US" w:eastAsia="ru-RU"/>
        </w:rPr>
        <w:t xml:space="preserve"> </w:t>
      </w:r>
      <w:r w:rsidR="001620B7" w:rsidRPr="007551F8">
        <w:rPr>
          <w:sz w:val="24"/>
          <w:szCs w:val="24"/>
          <w:lang w:val="en-US" w:eastAsia="ru-RU"/>
        </w:rPr>
        <w:t xml:space="preserve">765 443 </w:t>
      </w:r>
      <w:proofErr w:type="spellStart"/>
      <w:r w:rsidR="008F47BD" w:rsidRPr="007551F8">
        <w:rPr>
          <w:sz w:val="24"/>
          <w:szCs w:val="24"/>
          <w:lang w:val="en-US" w:eastAsia="ru-RU"/>
        </w:rPr>
        <w:t>thous</w:t>
      </w:r>
      <w:proofErr w:type="spellEnd"/>
      <w:r w:rsidR="008F47BD" w:rsidRPr="007551F8">
        <w:rPr>
          <w:sz w:val="24"/>
          <w:szCs w:val="24"/>
          <w:lang w:val="en-US" w:eastAsia="ru-RU"/>
        </w:rPr>
        <w:t xml:space="preserve">. </w:t>
      </w:r>
      <w:proofErr w:type="gramStart"/>
      <w:r w:rsidR="008F47BD">
        <w:rPr>
          <w:sz w:val="24"/>
          <w:szCs w:val="24"/>
          <w:lang w:val="ru-RU" w:eastAsia="ru-RU"/>
        </w:rPr>
        <w:t>RUB</w:t>
      </w:r>
      <w:r w:rsidR="001620B7">
        <w:rPr>
          <w:sz w:val="24"/>
          <w:szCs w:val="24"/>
          <w:lang w:val="ru-RU" w:eastAsia="ru-RU"/>
        </w:rPr>
        <w:t xml:space="preserve"> </w:t>
      </w:r>
      <w:r w:rsidR="0017459D">
        <w:rPr>
          <w:sz w:val="24"/>
          <w:szCs w:val="24"/>
          <w:lang w:val="en-US" w:eastAsia="ru-RU"/>
        </w:rPr>
        <w:t>refers</w:t>
      </w:r>
      <w:r w:rsidR="0017459D" w:rsidRPr="00FF54FB">
        <w:rPr>
          <w:sz w:val="24"/>
          <w:szCs w:val="24"/>
          <w:lang w:val="ru-RU" w:eastAsia="ru-RU"/>
        </w:rPr>
        <w:t xml:space="preserve"> </w:t>
      </w:r>
      <w:r w:rsidR="0017459D">
        <w:rPr>
          <w:sz w:val="24"/>
          <w:szCs w:val="24"/>
          <w:lang w:val="en-US" w:eastAsia="ru-RU"/>
        </w:rPr>
        <w:t>to</w:t>
      </w:r>
      <w:r w:rsidR="0017459D" w:rsidRPr="00FF54FB">
        <w:rPr>
          <w:sz w:val="24"/>
          <w:szCs w:val="24"/>
          <w:lang w:val="ru-RU" w:eastAsia="ru-RU"/>
        </w:rPr>
        <w:t xml:space="preserve"> OJSC "NLMK"</w:t>
      </w:r>
      <w:r w:rsidR="00CB5F06">
        <w:rPr>
          <w:sz w:val="24"/>
          <w:szCs w:val="24"/>
          <w:lang w:val="ru-RU" w:eastAsia="ru-RU"/>
        </w:rPr>
        <w:t>)</w:t>
      </w:r>
      <w:r w:rsidRPr="008723BB">
        <w:rPr>
          <w:sz w:val="24"/>
          <w:szCs w:val="24"/>
          <w:lang w:val="ru-RU" w:eastAsia="ru-RU"/>
        </w:rPr>
        <w:t>;</w:t>
      </w:r>
      <w:proofErr w:type="gramEnd"/>
    </w:p>
    <w:p w:rsidR="00530F58" w:rsidRPr="008723BB" w:rsidRDefault="00530F58" w:rsidP="00E37AB5">
      <w:pPr>
        <w:pStyle w:val="ab"/>
        <w:numPr>
          <w:ilvl w:val="0"/>
          <w:numId w:val="12"/>
        </w:numPr>
        <w:jc w:val="both"/>
        <w:rPr>
          <w:sz w:val="24"/>
          <w:szCs w:val="24"/>
          <w:lang w:val="ru-RU" w:eastAsia="ru-RU"/>
        </w:rPr>
      </w:pPr>
      <w:r w:rsidRPr="008723BB">
        <w:rPr>
          <w:sz w:val="24"/>
          <w:szCs w:val="24"/>
          <w:lang w:val="en-US" w:eastAsia="ru-RU"/>
        </w:rPr>
        <w:t xml:space="preserve">241 </w:t>
      </w:r>
      <w:proofErr w:type="gramStart"/>
      <w:r w:rsidRPr="008723BB">
        <w:rPr>
          <w:sz w:val="24"/>
          <w:szCs w:val="24"/>
          <w:lang w:val="en-US" w:eastAsia="ru-RU"/>
        </w:rPr>
        <w:t>662</w:t>
      </w:r>
      <w:r w:rsidRPr="008723BB">
        <w:rPr>
          <w:sz w:val="24"/>
          <w:szCs w:val="24"/>
          <w:lang w:eastAsia="ru-RU"/>
        </w:rPr>
        <w:t xml:space="preserve">  </w:t>
      </w:r>
      <w:r w:rsidR="004D7208">
        <w:rPr>
          <w:sz w:val="24"/>
          <w:szCs w:val="24"/>
          <w:lang w:eastAsia="ru-RU"/>
        </w:rPr>
        <w:t>thous</w:t>
      </w:r>
      <w:proofErr w:type="gramEnd"/>
      <w:r w:rsidR="004D7208">
        <w:rPr>
          <w:sz w:val="24"/>
          <w:szCs w:val="24"/>
          <w:lang w:eastAsia="ru-RU"/>
        </w:rPr>
        <w:t>. RUB</w:t>
      </w:r>
      <w:r w:rsidRPr="008723BB">
        <w:rPr>
          <w:sz w:val="24"/>
          <w:szCs w:val="24"/>
          <w:lang w:eastAsia="ru-RU"/>
        </w:rPr>
        <w:t xml:space="preserve"> – </w:t>
      </w:r>
      <w:proofErr w:type="spellStart"/>
      <w:r w:rsidR="0017459D">
        <w:rPr>
          <w:sz w:val="24"/>
          <w:szCs w:val="24"/>
          <w:lang w:val="ru-RU" w:eastAsia="ru-RU"/>
        </w:rPr>
        <w:t>other</w:t>
      </w:r>
      <w:proofErr w:type="spellEnd"/>
      <w:r w:rsidR="0017459D" w:rsidRPr="00836721">
        <w:rPr>
          <w:sz w:val="24"/>
          <w:szCs w:val="24"/>
          <w:lang w:val="ru-RU" w:eastAsia="ru-RU"/>
        </w:rPr>
        <w:t xml:space="preserve"> </w:t>
      </w:r>
      <w:proofErr w:type="spellStart"/>
      <w:r w:rsidR="0017459D" w:rsidRPr="000D113D">
        <w:rPr>
          <w:sz w:val="24"/>
          <w:szCs w:val="24"/>
          <w:lang w:val="ru-RU" w:eastAsia="ru-RU"/>
        </w:rPr>
        <w:t>costs</w:t>
      </w:r>
      <w:proofErr w:type="spellEnd"/>
      <w:r w:rsidRPr="008723BB">
        <w:rPr>
          <w:sz w:val="24"/>
          <w:szCs w:val="24"/>
          <w:lang w:eastAsia="ru-RU"/>
        </w:rPr>
        <w:t>.</w:t>
      </w:r>
    </w:p>
    <w:p w:rsidR="00F11B9D" w:rsidRDefault="00F11B9D" w:rsidP="00F11B9D">
      <w:pPr>
        <w:rPr>
          <w:sz w:val="24"/>
          <w:szCs w:val="24"/>
          <w:lang w:val="ru-RU" w:eastAsia="ru-RU"/>
        </w:rPr>
      </w:pPr>
    </w:p>
    <w:p w:rsidR="008041DF" w:rsidRPr="00E3188C" w:rsidRDefault="008041DF" w:rsidP="00F11B9D">
      <w:pPr>
        <w:rPr>
          <w:sz w:val="24"/>
          <w:szCs w:val="24"/>
          <w:lang w:val="ru-RU" w:eastAsia="ru-RU"/>
        </w:rPr>
      </w:pPr>
    </w:p>
    <w:p w:rsidR="006B2789" w:rsidRPr="00E3188C" w:rsidRDefault="002646E4" w:rsidP="00C60265">
      <w:pPr>
        <w:pStyle w:val="8"/>
      </w:pPr>
      <w:bookmarkStart w:id="30" w:name="_Toc381196267"/>
      <w:bookmarkStart w:id="31" w:name="_Toc381196493"/>
      <w:bookmarkStart w:id="32" w:name="_Toc381199134"/>
      <w:bookmarkStart w:id="33" w:name="_Toc381199347"/>
      <w:bookmarkStart w:id="34" w:name="_Toc381196268"/>
      <w:bookmarkStart w:id="35" w:name="_Toc381196494"/>
      <w:bookmarkStart w:id="36" w:name="_Toc381199135"/>
      <w:bookmarkStart w:id="37" w:name="_Toc381199348"/>
      <w:bookmarkStart w:id="38" w:name="_Toc381196269"/>
      <w:bookmarkStart w:id="39" w:name="_Toc381196495"/>
      <w:bookmarkStart w:id="40" w:name="_Toc381199136"/>
      <w:bookmarkStart w:id="41" w:name="_Toc381199349"/>
      <w:bookmarkStart w:id="42" w:name="_Toc381196270"/>
      <w:bookmarkStart w:id="43" w:name="_Toc381196496"/>
      <w:bookmarkStart w:id="44" w:name="_Toc381199137"/>
      <w:bookmarkStart w:id="45" w:name="_Toc381199350"/>
      <w:bookmarkStart w:id="46" w:name="_Toc381196271"/>
      <w:bookmarkStart w:id="47" w:name="_Toc381196497"/>
      <w:bookmarkStart w:id="48" w:name="_Toc381199138"/>
      <w:bookmarkStart w:id="49" w:name="_Toc38119935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roofErr w:type="spellStart"/>
      <w:r w:rsidRPr="000D113D">
        <w:t>Other</w:t>
      </w:r>
      <w:proofErr w:type="spellEnd"/>
      <w:r w:rsidRPr="000D113D">
        <w:t xml:space="preserve"> </w:t>
      </w:r>
      <w:proofErr w:type="spellStart"/>
      <w:r w:rsidRPr="000D113D">
        <w:t>information</w:t>
      </w:r>
      <w:proofErr w:type="spellEnd"/>
      <w:r w:rsidR="002432C2" w:rsidRPr="00E3188C">
        <w:t xml:space="preserve"> </w:t>
      </w:r>
    </w:p>
    <w:p w:rsidR="0079598B" w:rsidRPr="00E3188C" w:rsidRDefault="0079598B" w:rsidP="0079598B">
      <w:pPr>
        <w:pStyle w:val="ab"/>
        <w:ind w:left="809"/>
        <w:jc w:val="both"/>
        <w:rPr>
          <w:rFonts w:ascii="13" w:hAnsi="13"/>
          <w:b/>
          <w:sz w:val="24"/>
          <w:szCs w:val="24"/>
          <w:lang w:val="ru-RU"/>
        </w:rPr>
      </w:pPr>
    </w:p>
    <w:p w:rsidR="006B2789" w:rsidRPr="002646E4" w:rsidRDefault="00586EC7" w:rsidP="00586EC7">
      <w:pPr>
        <w:ind w:left="720"/>
        <w:rPr>
          <w:sz w:val="24"/>
          <w:szCs w:val="24"/>
          <w:lang w:val="en-US" w:eastAsia="ru-RU"/>
        </w:rPr>
      </w:pPr>
      <w:r w:rsidRPr="00726828">
        <w:rPr>
          <w:sz w:val="24"/>
          <w:szCs w:val="24"/>
          <w:lang w:val="en-US" w:eastAsia="ru-RU"/>
        </w:rPr>
        <w:t>3.18.1</w:t>
      </w:r>
      <w:proofErr w:type="gramStart"/>
      <w:r w:rsidRPr="00726828">
        <w:rPr>
          <w:sz w:val="24"/>
          <w:szCs w:val="24"/>
          <w:lang w:val="en-US" w:eastAsia="ru-RU"/>
        </w:rPr>
        <w:t xml:space="preserve">. </w:t>
      </w:r>
      <w:r w:rsidR="00F2642D" w:rsidRPr="00726828">
        <w:rPr>
          <w:sz w:val="24"/>
          <w:szCs w:val="24"/>
          <w:lang w:val="en-US" w:eastAsia="ru-RU"/>
        </w:rPr>
        <w:t xml:space="preserve"> </w:t>
      </w:r>
      <w:r w:rsidR="002646E4" w:rsidRPr="003F18A5">
        <w:rPr>
          <w:sz w:val="24"/>
          <w:szCs w:val="24"/>
          <w:lang w:val="en-US" w:eastAsia="ru-RU"/>
        </w:rPr>
        <w:t>The</w:t>
      </w:r>
      <w:proofErr w:type="gramEnd"/>
      <w:r w:rsidR="002646E4" w:rsidRPr="003F18A5">
        <w:rPr>
          <w:sz w:val="24"/>
          <w:szCs w:val="24"/>
          <w:lang w:val="en-US" w:eastAsia="ru-RU"/>
        </w:rPr>
        <w:t xml:space="preserve"> information on the received provisions of the </w:t>
      </w:r>
      <w:r w:rsidR="002646E4">
        <w:rPr>
          <w:sz w:val="24"/>
          <w:szCs w:val="24"/>
          <w:lang w:val="en-US" w:eastAsia="ru-RU"/>
        </w:rPr>
        <w:t>c</w:t>
      </w:r>
      <w:r w:rsidR="002646E4" w:rsidRPr="003F18A5">
        <w:rPr>
          <w:sz w:val="24"/>
          <w:szCs w:val="24"/>
          <w:lang w:val="en-US" w:eastAsia="ru-RU"/>
        </w:rPr>
        <w:t>ompany’s obligations and payments</w:t>
      </w:r>
      <w:r w:rsidR="006B2789" w:rsidRPr="002646E4">
        <w:rPr>
          <w:sz w:val="24"/>
          <w:szCs w:val="24"/>
          <w:lang w:val="en-US" w:eastAsia="ru-RU"/>
        </w:rPr>
        <w:t>.</w:t>
      </w:r>
    </w:p>
    <w:p w:rsidR="006B2789" w:rsidRPr="002646E4" w:rsidRDefault="006B2789" w:rsidP="008B3678">
      <w:pPr>
        <w:ind w:firstLine="709"/>
        <w:rPr>
          <w:sz w:val="24"/>
          <w:szCs w:val="24"/>
          <w:lang w:val="en-US" w:eastAsia="ru-RU"/>
        </w:rPr>
      </w:pPr>
    </w:p>
    <w:p w:rsidR="001A3BF8" w:rsidRPr="002646E4" w:rsidRDefault="002646E4" w:rsidP="008B3678">
      <w:pPr>
        <w:ind w:firstLine="709"/>
        <w:rPr>
          <w:sz w:val="24"/>
          <w:szCs w:val="24"/>
          <w:lang w:val="en-US" w:eastAsia="ru-RU"/>
        </w:rPr>
      </w:pPr>
      <w:r w:rsidRPr="003F18A5">
        <w:rPr>
          <w:sz w:val="24"/>
          <w:szCs w:val="24"/>
          <w:lang w:val="en-US" w:eastAsia="ru-RU"/>
        </w:rPr>
        <w:t>The information on the received provisions of obligations of IDGC of Centre is included in the explanatory note to the accounting balance sheet and the profit and loss statement in table</w:t>
      </w:r>
      <w:r w:rsidRPr="002646E4">
        <w:rPr>
          <w:sz w:val="24"/>
          <w:szCs w:val="24"/>
          <w:lang w:val="en-US" w:eastAsia="ru-RU"/>
        </w:rPr>
        <w:t xml:space="preserve"> </w:t>
      </w:r>
      <w:r w:rsidR="00BD22AA" w:rsidRPr="002646E4">
        <w:rPr>
          <w:sz w:val="24"/>
          <w:szCs w:val="24"/>
          <w:lang w:val="en-US" w:eastAsia="ru-RU"/>
        </w:rPr>
        <w:t>5.8.</w:t>
      </w:r>
    </w:p>
    <w:p w:rsidR="0079598B" w:rsidRPr="002646E4" w:rsidRDefault="0079598B" w:rsidP="008B3678">
      <w:pPr>
        <w:ind w:firstLine="709"/>
        <w:rPr>
          <w:sz w:val="24"/>
          <w:szCs w:val="24"/>
          <w:lang w:val="en-US" w:eastAsia="ru-RU"/>
        </w:rPr>
      </w:pPr>
    </w:p>
    <w:p w:rsidR="00645C4E" w:rsidRPr="002646E4" w:rsidRDefault="00F2642D" w:rsidP="00645C4E">
      <w:pPr>
        <w:ind w:firstLine="709"/>
        <w:rPr>
          <w:sz w:val="24"/>
          <w:szCs w:val="24"/>
          <w:lang w:val="en-US" w:eastAsia="ru-RU"/>
        </w:rPr>
      </w:pPr>
      <w:r w:rsidRPr="002646E4">
        <w:rPr>
          <w:sz w:val="24"/>
          <w:szCs w:val="24"/>
          <w:lang w:val="en-US" w:eastAsia="ru-RU"/>
        </w:rPr>
        <w:t>3</w:t>
      </w:r>
      <w:r w:rsidR="002928F2" w:rsidRPr="002646E4">
        <w:rPr>
          <w:sz w:val="24"/>
          <w:szCs w:val="24"/>
          <w:lang w:val="en-US" w:eastAsia="ru-RU"/>
        </w:rPr>
        <w:t>.</w:t>
      </w:r>
      <w:r w:rsidR="006B7A95" w:rsidRPr="002646E4">
        <w:rPr>
          <w:sz w:val="24"/>
          <w:szCs w:val="24"/>
          <w:lang w:val="en-US" w:eastAsia="ru-RU"/>
        </w:rPr>
        <w:t>18.</w:t>
      </w:r>
      <w:r w:rsidR="002928F2" w:rsidRPr="002646E4">
        <w:rPr>
          <w:sz w:val="24"/>
          <w:szCs w:val="24"/>
          <w:lang w:val="en-US" w:eastAsia="ru-RU"/>
        </w:rPr>
        <w:t>2.</w:t>
      </w:r>
      <w:r w:rsidR="006B7A95" w:rsidRPr="002646E4">
        <w:rPr>
          <w:sz w:val="24"/>
          <w:szCs w:val="24"/>
          <w:lang w:val="en-US" w:eastAsia="ru-RU"/>
        </w:rPr>
        <w:t xml:space="preserve"> </w:t>
      </w:r>
      <w:r w:rsidR="002646E4" w:rsidRPr="002646E4">
        <w:rPr>
          <w:sz w:val="24"/>
          <w:szCs w:val="24"/>
          <w:lang w:val="en-US" w:eastAsia="ru-RU"/>
        </w:rPr>
        <w:t>Assessment of the financial position of the Company</w:t>
      </w:r>
    </w:p>
    <w:p w:rsidR="006E66FC" w:rsidRPr="002646E4" w:rsidRDefault="006E66FC" w:rsidP="008B3678">
      <w:pPr>
        <w:ind w:firstLine="709"/>
        <w:rPr>
          <w:sz w:val="24"/>
          <w:szCs w:val="24"/>
          <w:lang w:val="en-US" w:eastAsia="ru-RU"/>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30"/>
        <w:gridCol w:w="2115"/>
        <w:gridCol w:w="2115"/>
      </w:tblGrid>
      <w:tr w:rsidR="007228F8" w:rsidRPr="0081174A" w:rsidTr="007228F8">
        <w:trPr>
          <w:trHeight w:val="274"/>
        </w:trPr>
        <w:tc>
          <w:tcPr>
            <w:tcW w:w="5130" w:type="dxa"/>
            <w:noWrap/>
            <w:tcMar>
              <w:top w:w="0" w:type="dxa"/>
              <w:left w:w="108" w:type="dxa"/>
              <w:bottom w:w="0" w:type="dxa"/>
              <w:right w:w="108" w:type="dxa"/>
            </w:tcMar>
            <w:hideMark/>
          </w:tcPr>
          <w:p w:rsidR="007228F8" w:rsidRPr="0081174A" w:rsidRDefault="00290818" w:rsidP="002644C5">
            <w:pPr>
              <w:jc w:val="center"/>
              <w:rPr>
                <w:rFonts w:eastAsiaTheme="minorHAnsi"/>
                <w:b/>
                <w:lang w:val="ru-RU"/>
              </w:rPr>
            </w:pPr>
            <w:proofErr w:type="spellStart"/>
            <w:r>
              <w:rPr>
                <w:b/>
                <w:lang w:val="de-DE"/>
              </w:rPr>
              <w:t>Indicator</w:t>
            </w:r>
            <w:proofErr w:type="spellEnd"/>
          </w:p>
        </w:tc>
        <w:tc>
          <w:tcPr>
            <w:tcW w:w="2115" w:type="dxa"/>
          </w:tcPr>
          <w:p w:rsidR="007228F8" w:rsidRPr="0081174A" w:rsidRDefault="007228F8" w:rsidP="002644C5">
            <w:pPr>
              <w:jc w:val="center"/>
              <w:rPr>
                <w:rFonts w:eastAsiaTheme="minorHAnsi"/>
                <w:b/>
                <w:lang w:val="ru-RU"/>
              </w:rPr>
            </w:pPr>
            <w:r w:rsidRPr="0081174A">
              <w:rPr>
                <w:b/>
                <w:lang w:val="ru-RU"/>
              </w:rPr>
              <w:t>31.12.2014</w:t>
            </w:r>
          </w:p>
        </w:tc>
        <w:tc>
          <w:tcPr>
            <w:tcW w:w="2115" w:type="dxa"/>
            <w:tcMar>
              <w:top w:w="0" w:type="dxa"/>
              <w:left w:w="108" w:type="dxa"/>
              <w:bottom w:w="0" w:type="dxa"/>
              <w:right w:w="108" w:type="dxa"/>
            </w:tcMar>
            <w:hideMark/>
          </w:tcPr>
          <w:p w:rsidR="007228F8" w:rsidRPr="0081174A" w:rsidRDefault="007228F8" w:rsidP="002644C5">
            <w:pPr>
              <w:spacing w:line="276" w:lineRule="auto"/>
              <w:jc w:val="center"/>
              <w:rPr>
                <w:rFonts w:eastAsiaTheme="minorHAnsi"/>
                <w:b/>
                <w:lang w:val="ru-RU"/>
              </w:rPr>
            </w:pPr>
            <w:r w:rsidRPr="0081174A">
              <w:rPr>
                <w:b/>
                <w:lang w:val="ru-RU"/>
              </w:rPr>
              <w:t>31.12.2013</w:t>
            </w:r>
          </w:p>
        </w:tc>
      </w:tr>
      <w:tr w:rsidR="00290818" w:rsidRPr="0081174A" w:rsidTr="007228F8">
        <w:trPr>
          <w:trHeight w:val="300"/>
        </w:trPr>
        <w:tc>
          <w:tcPr>
            <w:tcW w:w="5130" w:type="dxa"/>
            <w:noWrap/>
            <w:tcMar>
              <w:top w:w="0" w:type="dxa"/>
              <w:left w:w="108" w:type="dxa"/>
              <w:bottom w:w="0" w:type="dxa"/>
              <w:right w:w="108" w:type="dxa"/>
            </w:tcMar>
            <w:hideMark/>
          </w:tcPr>
          <w:p w:rsidR="00290818" w:rsidRPr="003F18A5" w:rsidRDefault="00290818" w:rsidP="007C4502">
            <w:pPr>
              <w:rPr>
                <w:lang w:val="ru-RU" w:eastAsia="ru-RU"/>
              </w:rPr>
            </w:pPr>
            <w:proofErr w:type="spellStart"/>
            <w:r w:rsidRPr="003F18A5">
              <w:rPr>
                <w:lang w:val="ru-RU" w:eastAsia="ru-RU"/>
              </w:rPr>
              <w:t>Current</w:t>
            </w:r>
            <w:proofErr w:type="spellEnd"/>
            <w:r w:rsidRPr="003F18A5">
              <w:rPr>
                <w:lang w:val="ru-RU" w:eastAsia="ru-RU"/>
              </w:rPr>
              <w:t xml:space="preserve"> </w:t>
            </w:r>
            <w:proofErr w:type="spellStart"/>
            <w:r w:rsidRPr="003F18A5">
              <w:rPr>
                <w:lang w:val="ru-RU" w:eastAsia="ru-RU"/>
              </w:rPr>
              <w:t>liquidity</w:t>
            </w:r>
            <w:proofErr w:type="spellEnd"/>
            <w:r w:rsidRPr="003F18A5">
              <w:rPr>
                <w:lang w:val="ru-RU" w:eastAsia="ru-RU"/>
              </w:rPr>
              <w:t xml:space="preserve"> </w:t>
            </w:r>
            <w:proofErr w:type="spellStart"/>
            <w:r w:rsidRPr="003F18A5">
              <w:rPr>
                <w:lang w:val="ru-RU" w:eastAsia="ru-RU"/>
              </w:rPr>
              <w:t>ratio</w:t>
            </w:r>
            <w:proofErr w:type="spellEnd"/>
          </w:p>
        </w:tc>
        <w:tc>
          <w:tcPr>
            <w:tcW w:w="2115" w:type="dxa"/>
          </w:tcPr>
          <w:p w:rsidR="00290818" w:rsidRPr="0081174A" w:rsidRDefault="00290818" w:rsidP="002644C5">
            <w:pPr>
              <w:jc w:val="center"/>
              <w:rPr>
                <w:rFonts w:eastAsiaTheme="minorHAnsi"/>
                <w:lang w:val="ru-RU"/>
              </w:rPr>
            </w:pPr>
            <w:r>
              <w:rPr>
                <w:lang w:val="ru-RU"/>
              </w:rPr>
              <w:t>0,96</w:t>
            </w:r>
          </w:p>
        </w:tc>
        <w:tc>
          <w:tcPr>
            <w:tcW w:w="2115" w:type="dxa"/>
            <w:noWrap/>
            <w:tcMar>
              <w:top w:w="0" w:type="dxa"/>
              <w:left w:w="108" w:type="dxa"/>
              <w:bottom w:w="0" w:type="dxa"/>
              <w:right w:w="108" w:type="dxa"/>
            </w:tcMar>
            <w:hideMark/>
          </w:tcPr>
          <w:p w:rsidR="00290818" w:rsidRPr="0081174A" w:rsidRDefault="00290818" w:rsidP="002644C5">
            <w:pPr>
              <w:spacing w:line="276" w:lineRule="auto"/>
              <w:jc w:val="center"/>
              <w:rPr>
                <w:rFonts w:eastAsiaTheme="minorHAnsi"/>
                <w:lang w:val="ru-RU"/>
              </w:rPr>
            </w:pPr>
            <w:r w:rsidRPr="0081174A">
              <w:rPr>
                <w:lang w:val="ru-RU"/>
              </w:rPr>
              <w:t>1,18</w:t>
            </w:r>
          </w:p>
        </w:tc>
      </w:tr>
      <w:tr w:rsidR="00290818" w:rsidRPr="0081174A" w:rsidTr="007228F8">
        <w:trPr>
          <w:trHeight w:val="300"/>
        </w:trPr>
        <w:tc>
          <w:tcPr>
            <w:tcW w:w="5130" w:type="dxa"/>
            <w:noWrap/>
            <w:tcMar>
              <w:top w:w="0" w:type="dxa"/>
              <w:left w:w="108" w:type="dxa"/>
              <w:bottom w:w="0" w:type="dxa"/>
              <w:right w:w="108" w:type="dxa"/>
            </w:tcMar>
            <w:hideMark/>
          </w:tcPr>
          <w:p w:rsidR="00290818" w:rsidRPr="003F18A5" w:rsidRDefault="00290818" w:rsidP="007C4502">
            <w:pPr>
              <w:rPr>
                <w:lang w:val="ru-RU" w:eastAsia="ru-RU"/>
              </w:rPr>
            </w:pPr>
            <w:proofErr w:type="spellStart"/>
            <w:r w:rsidRPr="003F18A5">
              <w:rPr>
                <w:lang w:val="ru-RU" w:eastAsia="ru-RU"/>
              </w:rPr>
              <w:t>Acid</w:t>
            </w:r>
            <w:proofErr w:type="spellEnd"/>
            <w:r w:rsidRPr="003F18A5">
              <w:rPr>
                <w:lang w:val="ru-RU" w:eastAsia="ru-RU"/>
              </w:rPr>
              <w:t xml:space="preserve"> </w:t>
            </w:r>
            <w:proofErr w:type="spellStart"/>
            <w:r w:rsidRPr="003F18A5">
              <w:rPr>
                <w:lang w:val="ru-RU" w:eastAsia="ru-RU"/>
              </w:rPr>
              <w:t>ratio</w:t>
            </w:r>
            <w:proofErr w:type="spellEnd"/>
          </w:p>
        </w:tc>
        <w:tc>
          <w:tcPr>
            <w:tcW w:w="2115" w:type="dxa"/>
          </w:tcPr>
          <w:p w:rsidR="00290818" w:rsidRPr="0081174A" w:rsidRDefault="00290818" w:rsidP="002644C5">
            <w:pPr>
              <w:jc w:val="center"/>
              <w:rPr>
                <w:rFonts w:eastAsiaTheme="minorHAnsi"/>
                <w:lang w:val="ru-RU"/>
              </w:rPr>
            </w:pPr>
            <w:r>
              <w:rPr>
                <w:lang w:val="ru-RU"/>
              </w:rPr>
              <w:t>0,87</w:t>
            </w:r>
          </w:p>
        </w:tc>
        <w:tc>
          <w:tcPr>
            <w:tcW w:w="2115" w:type="dxa"/>
            <w:noWrap/>
            <w:tcMar>
              <w:top w:w="0" w:type="dxa"/>
              <w:left w:w="108" w:type="dxa"/>
              <w:bottom w:w="0" w:type="dxa"/>
              <w:right w:w="108" w:type="dxa"/>
            </w:tcMar>
            <w:hideMark/>
          </w:tcPr>
          <w:p w:rsidR="00290818" w:rsidRPr="0081174A" w:rsidRDefault="00290818" w:rsidP="002644C5">
            <w:pPr>
              <w:spacing w:line="276" w:lineRule="auto"/>
              <w:jc w:val="center"/>
              <w:rPr>
                <w:rFonts w:eastAsiaTheme="minorHAnsi"/>
                <w:lang w:val="ru-RU"/>
              </w:rPr>
            </w:pPr>
            <w:r w:rsidRPr="0081174A">
              <w:rPr>
                <w:lang w:val="ru-RU"/>
              </w:rPr>
              <w:t>1,04</w:t>
            </w:r>
          </w:p>
        </w:tc>
      </w:tr>
      <w:tr w:rsidR="00290818" w:rsidRPr="00836721" w:rsidTr="007228F8">
        <w:trPr>
          <w:trHeight w:val="300"/>
        </w:trPr>
        <w:tc>
          <w:tcPr>
            <w:tcW w:w="5130" w:type="dxa"/>
            <w:noWrap/>
            <w:tcMar>
              <w:top w:w="0" w:type="dxa"/>
              <w:left w:w="108" w:type="dxa"/>
              <w:bottom w:w="0" w:type="dxa"/>
              <w:right w:w="108" w:type="dxa"/>
            </w:tcMar>
            <w:hideMark/>
          </w:tcPr>
          <w:p w:rsidR="00290818" w:rsidRPr="00836721" w:rsidRDefault="00290818" w:rsidP="007C4502">
            <w:pPr>
              <w:jc w:val="both"/>
              <w:rPr>
                <w:lang w:val="ru-RU" w:eastAsia="ru-RU"/>
              </w:rPr>
            </w:pPr>
            <w:proofErr w:type="spellStart"/>
            <w:r w:rsidRPr="003F18A5">
              <w:rPr>
                <w:lang w:val="ru-RU" w:eastAsia="ru-RU"/>
              </w:rPr>
              <w:t>Equity-assets</w:t>
            </w:r>
            <w:proofErr w:type="spellEnd"/>
            <w:r w:rsidRPr="003F18A5">
              <w:rPr>
                <w:lang w:val="ru-RU" w:eastAsia="ru-RU"/>
              </w:rPr>
              <w:t xml:space="preserve"> </w:t>
            </w:r>
            <w:proofErr w:type="spellStart"/>
            <w:r w:rsidRPr="003F18A5">
              <w:rPr>
                <w:lang w:val="ru-RU" w:eastAsia="ru-RU"/>
              </w:rPr>
              <w:t>ratio</w:t>
            </w:r>
            <w:proofErr w:type="spellEnd"/>
          </w:p>
        </w:tc>
        <w:tc>
          <w:tcPr>
            <w:tcW w:w="2115" w:type="dxa"/>
          </w:tcPr>
          <w:p w:rsidR="00290818" w:rsidRPr="0081174A" w:rsidRDefault="00290818" w:rsidP="002644C5">
            <w:pPr>
              <w:jc w:val="center"/>
              <w:rPr>
                <w:rFonts w:eastAsiaTheme="minorHAnsi"/>
                <w:lang w:val="ru-RU"/>
              </w:rPr>
            </w:pPr>
            <w:r w:rsidRPr="0081174A">
              <w:rPr>
                <w:lang w:val="ru-RU"/>
              </w:rPr>
              <w:t>0,5</w:t>
            </w:r>
            <w:r>
              <w:rPr>
                <w:lang w:val="ru-RU"/>
              </w:rPr>
              <w:t>0</w:t>
            </w:r>
          </w:p>
        </w:tc>
        <w:tc>
          <w:tcPr>
            <w:tcW w:w="2115" w:type="dxa"/>
            <w:noWrap/>
            <w:tcMar>
              <w:top w:w="0" w:type="dxa"/>
              <w:left w:w="108" w:type="dxa"/>
              <w:bottom w:w="0" w:type="dxa"/>
              <w:right w:w="108" w:type="dxa"/>
            </w:tcMar>
            <w:hideMark/>
          </w:tcPr>
          <w:p w:rsidR="00290818" w:rsidRPr="00836721" w:rsidRDefault="00290818" w:rsidP="002644C5">
            <w:pPr>
              <w:spacing w:line="276" w:lineRule="auto"/>
              <w:jc w:val="center"/>
              <w:rPr>
                <w:rFonts w:eastAsiaTheme="minorHAnsi"/>
                <w:lang w:val="ru-RU"/>
              </w:rPr>
            </w:pPr>
            <w:r w:rsidRPr="0081174A">
              <w:rPr>
                <w:lang w:val="ru-RU"/>
              </w:rPr>
              <w:t>0,51</w:t>
            </w:r>
          </w:p>
        </w:tc>
      </w:tr>
    </w:tbl>
    <w:p w:rsidR="006E66FC" w:rsidRPr="00DF4510" w:rsidRDefault="006E66FC" w:rsidP="006E66FC">
      <w:pPr>
        <w:rPr>
          <w:rFonts w:eastAsiaTheme="minorHAnsi"/>
          <w:sz w:val="16"/>
          <w:szCs w:val="16"/>
          <w:lang w:val="ru-RU"/>
        </w:rPr>
      </w:pPr>
    </w:p>
    <w:p w:rsidR="0081174A" w:rsidRPr="0065099E" w:rsidRDefault="0065099E" w:rsidP="0081174A">
      <w:pPr>
        <w:ind w:firstLine="709"/>
        <w:jc w:val="both"/>
        <w:rPr>
          <w:sz w:val="24"/>
          <w:szCs w:val="24"/>
          <w:lang w:val="en-US" w:eastAsia="ru-RU"/>
        </w:rPr>
      </w:pPr>
      <w:r w:rsidRPr="003F18A5">
        <w:rPr>
          <w:sz w:val="24"/>
          <w:szCs w:val="24"/>
          <w:lang w:val="en-US" w:eastAsia="ru-RU"/>
        </w:rPr>
        <w:t>One of the indicators of the company’s financial standing is its solvency and liquidity, i.e. its ability to pay back its obligations</w:t>
      </w:r>
      <w:r w:rsidR="0081174A" w:rsidRPr="0065099E">
        <w:rPr>
          <w:sz w:val="24"/>
          <w:szCs w:val="24"/>
          <w:lang w:val="en-US" w:eastAsia="ru-RU"/>
        </w:rPr>
        <w:t xml:space="preserve">. </w:t>
      </w:r>
    </w:p>
    <w:p w:rsidR="0081174A" w:rsidRPr="00AC0612" w:rsidRDefault="009D1DA2" w:rsidP="0081174A">
      <w:pPr>
        <w:ind w:firstLine="709"/>
        <w:jc w:val="both"/>
        <w:rPr>
          <w:sz w:val="24"/>
          <w:szCs w:val="24"/>
          <w:lang w:val="en-US" w:eastAsia="ru-RU"/>
        </w:rPr>
      </w:pPr>
      <w:r w:rsidRPr="003F18A5">
        <w:rPr>
          <w:sz w:val="24"/>
          <w:szCs w:val="24"/>
          <w:lang w:val="en-US" w:eastAsia="ru-RU"/>
        </w:rPr>
        <w:t xml:space="preserve">Following the results of </w:t>
      </w:r>
      <w:r w:rsidRPr="009D1DA2">
        <w:rPr>
          <w:sz w:val="24"/>
          <w:szCs w:val="24"/>
          <w:lang w:val="en-US" w:eastAsia="ru-RU"/>
        </w:rPr>
        <w:t xml:space="preserve">2014 </w:t>
      </w:r>
      <w:r>
        <w:rPr>
          <w:sz w:val="24"/>
          <w:szCs w:val="24"/>
          <w:lang w:val="en-US" w:eastAsia="ru-RU"/>
        </w:rPr>
        <w:t>t</w:t>
      </w:r>
      <w:r w:rsidRPr="009D1DA2">
        <w:rPr>
          <w:sz w:val="24"/>
          <w:szCs w:val="24"/>
          <w:lang w:val="en-US" w:eastAsia="ru-RU"/>
        </w:rPr>
        <w:t xml:space="preserve">he value of the current </w:t>
      </w:r>
      <w:r>
        <w:rPr>
          <w:sz w:val="24"/>
          <w:szCs w:val="24"/>
          <w:lang w:val="en-US" w:eastAsia="ru-RU"/>
        </w:rPr>
        <w:t xml:space="preserve">liquidity </w:t>
      </w:r>
      <w:r w:rsidRPr="009D1DA2">
        <w:rPr>
          <w:sz w:val="24"/>
          <w:szCs w:val="24"/>
          <w:lang w:val="en-US" w:eastAsia="ru-RU"/>
        </w:rPr>
        <w:t xml:space="preserve">ratio was 0.96. Normative value of the </w:t>
      </w:r>
      <w:r>
        <w:rPr>
          <w:sz w:val="24"/>
          <w:szCs w:val="24"/>
          <w:lang w:val="en-US" w:eastAsia="ru-RU"/>
        </w:rPr>
        <w:t>ratio</w:t>
      </w:r>
      <w:r w:rsidRPr="009D1DA2">
        <w:rPr>
          <w:sz w:val="24"/>
          <w:szCs w:val="24"/>
          <w:lang w:val="en-US" w:eastAsia="ru-RU"/>
        </w:rPr>
        <w:t xml:space="preserve"> is considered equal to or greater than 1. Exceeding as of 31.12.2014 was due to the transfer of the loans maturing before the end of 2015 from long-term to short-term</w:t>
      </w:r>
      <w:r w:rsidR="0081174A" w:rsidRPr="00AC0612">
        <w:rPr>
          <w:sz w:val="24"/>
          <w:szCs w:val="24"/>
          <w:lang w:val="en-US" w:eastAsia="ru-RU"/>
        </w:rPr>
        <w:t>.</w:t>
      </w:r>
    </w:p>
    <w:p w:rsidR="0081174A" w:rsidRPr="0065099E" w:rsidRDefault="0065099E" w:rsidP="0081174A">
      <w:pPr>
        <w:ind w:firstLine="709"/>
        <w:jc w:val="both"/>
        <w:rPr>
          <w:sz w:val="24"/>
          <w:szCs w:val="24"/>
          <w:lang w:val="en-US" w:eastAsia="ru-RU"/>
        </w:rPr>
      </w:pPr>
      <w:r>
        <w:rPr>
          <w:sz w:val="24"/>
          <w:szCs w:val="24"/>
          <w:lang w:val="en-US" w:eastAsia="ru-RU"/>
        </w:rPr>
        <w:t>Acid</w:t>
      </w:r>
      <w:r w:rsidRPr="003F18A5">
        <w:rPr>
          <w:sz w:val="24"/>
          <w:szCs w:val="24"/>
          <w:lang w:val="en-US" w:eastAsia="ru-RU"/>
        </w:rPr>
        <w:t xml:space="preserve"> ratio reflects the Company's ability to pay back its current obligations in the shortest period of time. The normal value of the ratio is more than 0.8. Following the results of </w:t>
      </w:r>
      <w:r w:rsidR="0081174A" w:rsidRPr="0065099E">
        <w:rPr>
          <w:sz w:val="24"/>
          <w:szCs w:val="24"/>
          <w:lang w:val="en-US" w:eastAsia="ru-RU"/>
        </w:rPr>
        <w:t xml:space="preserve">2014 </w:t>
      </w:r>
      <w:r w:rsidRPr="003F18A5">
        <w:rPr>
          <w:sz w:val="24"/>
          <w:szCs w:val="24"/>
          <w:lang w:val="en-US" w:eastAsia="ru-RU"/>
        </w:rPr>
        <w:t>this ratio is within normal values and is</w:t>
      </w:r>
      <w:r w:rsidR="0081174A" w:rsidRPr="0065099E">
        <w:rPr>
          <w:sz w:val="24"/>
          <w:szCs w:val="24"/>
          <w:lang w:val="en-US" w:eastAsia="ru-RU"/>
        </w:rPr>
        <w:t xml:space="preserve"> 0</w:t>
      </w:r>
      <w:proofErr w:type="gramStart"/>
      <w:r w:rsidR="0081174A" w:rsidRPr="0065099E">
        <w:rPr>
          <w:sz w:val="24"/>
          <w:szCs w:val="24"/>
          <w:lang w:val="en-US" w:eastAsia="ru-RU"/>
        </w:rPr>
        <w:t>,87</w:t>
      </w:r>
      <w:proofErr w:type="gramEnd"/>
      <w:r w:rsidR="0081174A" w:rsidRPr="0065099E">
        <w:rPr>
          <w:sz w:val="24"/>
          <w:szCs w:val="24"/>
          <w:lang w:val="en-US" w:eastAsia="ru-RU"/>
        </w:rPr>
        <w:t>.</w:t>
      </w:r>
    </w:p>
    <w:p w:rsidR="0081174A" w:rsidRPr="00AC0612" w:rsidRDefault="00AC0612" w:rsidP="0081174A">
      <w:pPr>
        <w:ind w:firstLine="709"/>
        <w:jc w:val="both"/>
        <w:rPr>
          <w:sz w:val="24"/>
          <w:szCs w:val="24"/>
          <w:lang w:val="en-US" w:eastAsia="ru-RU"/>
        </w:rPr>
      </w:pPr>
      <w:r w:rsidRPr="003F18A5">
        <w:rPr>
          <w:sz w:val="24"/>
          <w:szCs w:val="24"/>
          <w:lang w:val="en-US" w:eastAsia="ru-RU"/>
        </w:rPr>
        <w:t>Liquidity ratios are within normal values, indicating the ability of the company to pay back its current liabilities from current assets</w:t>
      </w:r>
      <w:r w:rsidR="0081174A" w:rsidRPr="00AC0612">
        <w:rPr>
          <w:sz w:val="24"/>
          <w:szCs w:val="24"/>
          <w:lang w:val="en-US" w:eastAsia="ru-RU"/>
        </w:rPr>
        <w:t xml:space="preserve">. </w:t>
      </w:r>
    </w:p>
    <w:p w:rsidR="0081174A" w:rsidRPr="00AC0612" w:rsidRDefault="00AC0612" w:rsidP="0081174A">
      <w:pPr>
        <w:ind w:firstLine="709"/>
        <w:jc w:val="both"/>
        <w:rPr>
          <w:sz w:val="24"/>
          <w:szCs w:val="24"/>
          <w:lang w:val="en-US" w:eastAsia="ru-RU"/>
        </w:rPr>
      </w:pPr>
      <w:r w:rsidRPr="003F18A5">
        <w:rPr>
          <w:sz w:val="24"/>
          <w:szCs w:val="24"/>
          <w:lang w:val="en-US" w:eastAsia="ru-RU"/>
        </w:rPr>
        <w:t>Equity-assets ratio determines the share of the company’s assets financed by equity. The higher the ratio is, the more financially stable and independent from external creditors the enterprise is. The generally accepted standar</w:t>
      </w:r>
      <w:r>
        <w:rPr>
          <w:sz w:val="24"/>
          <w:szCs w:val="24"/>
          <w:lang w:val="en-US" w:eastAsia="ru-RU"/>
        </w:rPr>
        <w:t>d value for this indicator is</w:t>
      </w:r>
      <w:r w:rsidR="0081174A" w:rsidRPr="00AC0612">
        <w:rPr>
          <w:sz w:val="24"/>
          <w:szCs w:val="24"/>
          <w:lang w:val="en-US" w:eastAsia="ru-RU"/>
        </w:rPr>
        <w:t xml:space="preserve">. </w:t>
      </w:r>
      <w:r w:rsidRPr="003F18A5">
        <w:rPr>
          <w:sz w:val="24"/>
          <w:szCs w:val="24"/>
          <w:lang w:val="en-US" w:eastAsia="ru-RU"/>
        </w:rPr>
        <w:t>Following the results of financial and economic activity of IDGC of Centre for</w:t>
      </w:r>
      <w:r w:rsidRPr="00AC0612">
        <w:rPr>
          <w:sz w:val="24"/>
          <w:szCs w:val="24"/>
          <w:lang w:val="en-US" w:eastAsia="ru-RU"/>
        </w:rPr>
        <w:t xml:space="preserve"> </w:t>
      </w:r>
      <w:r w:rsidR="0081174A" w:rsidRPr="00AC0612">
        <w:rPr>
          <w:sz w:val="24"/>
          <w:szCs w:val="24"/>
          <w:lang w:val="en-US" w:eastAsia="ru-RU"/>
        </w:rPr>
        <w:t xml:space="preserve">2014 </w:t>
      </w:r>
      <w:r w:rsidRPr="00744040">
        <w:rPr>
          <w:sz w:val="24"/>
          <w:szCs w:val="24"/>
          <w:lang w:val="en-US" w:eastAsia="ru-RU"/>
        </w:rPr>
        <w:t xml:space="preserve">the equity-assets ratio </w:t>
      </w:r>
      <w:r>
        <w:rPr>
          <w:sz w:val="24"/>
          <w:szCs w:val="24"/>
          <w:lang w:val="en-US" w:eastAsia="ru-RU"/>
        </w:rPr>
        <w:t>did not change significantly</w:t>
      </w:r>
      <w:r w:rsidR="0081174A" w:rsidRPr="00AC0612">
        <w:rPr>
          <w:sz w:val="24"/>
          <w:szCs w:val="24"/>
          <w:lang w:val="en-US" w:eastAsia="ru-RU"/>
        </w:rPr>
        <w:t>.</w:t>
      </w:r>
    </w:p>
    <w:p w:rsidR="0081174A" w:rsidRPr="00AC0612" w:rsidRDefault="0081174A" w:rsidP="0081174A">
      <w:pPr>
        <w:rPr>
          <w:rFonts w:ascii="Calibri" w:eastAsia="Calibri" w:hAnsi="Calibri"/>
          <w:color w:val="1F497D"/>
          <w:sz w:val="24"/>
          <w:szCs w:val="24"/>
          <w:lang w:val="en-US"/>
        </w:rPr>
      </w:pPr>
    </w:p>
    <w:p w:rsidR="00E14578" w:rsidRPr="00AC0612" w:rsidRDefault="00E14578" w:rsidP="00EA1E69">
      <w:pPr>
        <w:ind w:firstLine="709"/>
        <w:jc w:val="both"/>
        <w:rPr>
          <w:sz w:val="24"/>
          <w:szCs w:val="24"/>
          <w:lang w:val="en-US" w:eastAsia="ru-RU"/>
        </w:rPr>
      </w:pPr>
      <w:r w:rsidRPr="00726828">
        <w:rPr>
          <w:sz w:val="24"/>
          <w:szCs w:val="24"/>
          <w:lang w:val="en-US" w:eastAsia="ru-RU"/>
        </w:rPr>
        <w:t>3.18.3.</w:t>
      </w:r>
      <w:r w:rsidR="00B41CE8" w:rsidRPr="00726828">
        <w:rPr>
          <w:sz w:val="24"/>
          <w:szCs w:val="24"/>
          <w:lang w:val="en-US" w:eastAsia="ru-RU"/>
        </w:rPr>
        <w:t xml:space="preserve"> </w:t>
      </w:r>
      <w:r w:rsidR="00AC0612" w:rsidRPr="00AC0612">
        <w:rPr>
          <w:sz w:val="24"/>
          <w:szCs w:val="24"/>
          <w:lang w:val="en-US" w:eastAsia="ru-RU"/>
        </w:rPr>
        <w:t xml:space="preserve">Information about disposal </w:t>
      </w:r>
      <w:r w:rsidR="00AC0612">
        <w:rPr>
          <w:sz w:val="24"/>
          <w:szCs w:val="24"/>
          <w:lang w:val="en-US" w:eastAsia="ru-RU"/>
        </w:rPr>
        <w:t xml:space="preserve">of a type of </w:t>
      </w:r>
      <w:r w:rsidR="00AC0612" w:rsidRPr="00AC0612">
        <w:rPr>
          <w:sz w:val="24"/>
          <w:szCs w:val="24"/>
          <w:lang w:val="en-US" w:eastAsia="ru-RU"/>
        </w:rPr>
        <w:t>activit</w:t>
      </w:r>
      <w:r w:rsidR="00AC0612">
        <w:rPr>
          <w:sz w:val="24"/>
          <w:szCs w:val="24"/>
          <w:lang w:val="en-US" w:eastAsia="ru-RU"/>
        </w:rPr>
        <w:t>y</w:t>
      </w:r>
    </w:p>
    <w:p w:rsidR="00F11B9D" w:rsidRPr="00AC0612" w:rsidRDefault="00F11B9D" w:rsidP="00EA1E69">
      <w:pPr>
        <w:ind w:firstLine="709"/>
        <w:jc w:val="both"/>
        <w:rPr>
          <w:sz w:val="24"/>
          <w:szCs w:val="24"/>
          <w:lang w:val="en-US" w:eastAsia="ru-RU"/>
        </w:rPr>
      </w:pPr>
    </w:p>
    <w:p w:rsidR="007228F8" w:rsidRPr="00AB4611" w:rsidRDefault="00AB4611" w:rsidP="007228F8">
      <w:pPr>
        <w:ind w:firstLine="708"/>
        <w:jc w:val="both"/>
        <w:rPr>
          <w:sz w:val="24"/>
          <w:szCs w:val="24"/>
          <w:lang w:val="en-US" w:eastAsia="ru-RU"/>
        </w:rPr>
      </w:pPr>
      <w:r>
        <w:rPr>
          <w:sz w:val="24"/>
          <w:szCs w:val="24"/>
          <w:lang w:val="en-US" w:eastAsia="ru-RU"/>
        </w:rPr>
        <w:lastRenderedPageBreak/>
        <w:t xml:space="preserve">According to </w:t>
      </w:r>
      <w:r w:rsidRPr="0031788F">
        <w:rPr>
          <w:sz w:val="24"/>
          <w:szCs w:val="24"/>
          <w:lang w:val="en-US" w:eastAsia="ru-RU"/>
        </w:rPr>
        <w:t xml:space="preserve">Orders of the Ministry of Energy of the Russian Federation </w:t>
      </w:r>
      <w:r>
        <w:rPr>
          <w:sz w:val="24"/>
          <w:szCs w:val="24"/>
          <w:lang w:val="en-US" w:eastAsia="ru-RU"/>
        </w:rPr>
        <w:t>from</w:t>
      </w:r>
      <w:r w:rsidRPr="0031788F">
        <w:rPr>
          <w:sz w:val="24"/>
          <w:szCs w:val="24"/>
          <w:lang w:val="en-US" w:eastAsia="ru-RU"/>
        </w:rPr>
        <w:t xml:space="preserve"> 22.01.2014 №15, from 19.03.2014 №116, from 19.03.2014 №117, from 15.05.2014 №269, from 23.05.2014 №311, from 27.10.2014 №780 </w:t>
      </w:r>
      <w:r>
        <w:rPr>
          <w:sz w:val="24"/>
          <w:szCs w:val="24"/>
          <w:lang w:val="en-US" w:eastAsia="ru-RU"/>
        </w:rPr>
        <w:t xml:space="preserve">the status of a </w:t>
      </w:r>
      <w:r w:rsidRPr="0031788F">
        <w:rPr>
          <w:sz w:val="24"/>
          <w:szCs w:val="24"/>
          <w:lang w:val="en-US" w:eastAsia="ru-RU"/>
        </w:rPr>
        <w:t xml:space="preserve">supplier </w:t>
      </w:r>
      <w:r>
        <w:rPr>
          <w:sz w:val="24"/>
          <w:szCs w:val="24"/>
          <w:lang w:val="en-US" w:eastAsia="ru-RU"/>
        </w:rPr>
        <w:t xml:space="preserve">of last </w:t>
      </w:r>
      <w:r w:rsidRPr="0031788F">
        <w:rPr>
          <w:sz w:val="24"/>
          <w:szCs w:val="24"/>
          <w:lang w:val="en-US" w:eastAsia="ru-RU"/>
        </w:rPr>
        <w:t xml:space="preserve">resort with respect to the </w:t>
      </w:r>
      <w:r>
        <w:rPr>
          <w:sz w:val="24"/>
          <w:szCs w:val="24"/>
          <w:lang w:val="en-US" w:eastAsia="ru-RU"/>
        </w:rPr>
        <w:t>service area</w:t>
      </w:r>
      <w:r w:rsidRPr="0031788F">
        <w:rPr>
          <w:sz w:val="24"/>
          <w:szCs w:val="24"/>
          <w:lang w:val="en-US" w:eastAsia="ru-RU"/>
        </w:rPr>
        <w:t xml:space="preserve"> of </w:t>
      </w:r>
      <w:r>
        <w:rPr>
          <w:sz w:val="24"/>
          <w:szCs w:val="24"/>
          <w:lang w:val="en-US" w:eastAsia="ru-RU"/>
        </w:rPr>
        <w:t>the</w:t>
      </w:r>
      <w:r w:rsidRPr="0031788F">
        <w:rPr>
          <w:sz w:val="24"/>
          <w:szCs w:val="24"/>
          <w:lang w:val="en-US" w:eastAsia="ru-RU"/>
        </w:rPr>
        <w:t xml:space="preserve"> supplier </w:t>
      </w:r>
      <w:r>
        <w:rPr>
          <w:sz w:val="24"/>
          <w:szCs w:val="24"/>
          <w:lang w:val="en-US" w:eastAsia="ru-RU"/>
        </w:rPr>
        <w:t xml:space="preserve">of last </w:t>
      </w:r>
      <w:r w:rsidRPr="0031788F">
        <w:rPr>
          <w:sz w:val="24"/>
          <w:szCs w:val="24"/>
          <w:lang w:val="en-US" w:eastAsia="ru-RU"/>
        </w:rPr>
        <w:t>resort of IDGC of Centre</w:t>
      </w:r>
      <w:r w:rsidR="007228F8" w:rsidRPr="00AB4611">
        <w:rPr>
          <w:sz w:val="24"/>
          <w:szCs w:val="24"/>
          <w:lang w:val="en-US" w:eastAsia="ru-RU"/>
        </w:rPr>
        <w:t>:</w:t>
      </w:r>
    </w:p>
    <w:p w:rsidR="00F11B9D" w:rsidRPr="00421436" w:rsidRDefault="00F83615" w:rsidP="00E37AB5">
      <w:pPr>
        <w:pStyle w:val="ab"/>
        <w:numPr>
          <w:ilvl w:val="0"/>
          <w:numId w:val="13"/>
        </w:numPr>
        <w:jc w:val="both"/>
        <w:rPr>
          <w:sz w:val="24"/>
          <w:szCs w:val="24"/>
          <w:lang w:val="en-US" w:eastAsia="ru-RU"/>
        </w:rPr>
      </w:pPr>
      <w:r>
        <w:rPr>
          <w:sz w:val="24"/>
          <w:szCs w:val="24"/>
          <w:lang w:val="en-US" w:eastAsia="ru-RU"/>
        </w:rPr>
        <w:t>from</w:t>
      </w:r>
      <w:r w:rsidR="00B41CE8" w:rsidRPr="00421436">
        <w:rPr>
          <w:sz w:val="24"/>
          <w:szCs w:val="24"/>
          <w:lang w:val="en-US" w:eastAsia="ru-RU"/>
        </w:rPr>
        <w:t xml:space="preserve"> 01.02.2014 </w:t>
      </w:r>
      <w:r w:rsidR="00421436">
        <w:rPr>
          <w:sz w:val="24"/>
          <w:szCs w:val="24"/>
          <w:lang w:val="en-US" w:eastAsia="ru-RU"/>
        </w:rPr>
        <w:t>in</w:t>
      </w:r>
      <w:r w:rsidR="00421436" w:rsidRPr="0031788F">
        <w:rPr>
          <w:sz w:val="24"/>
          <w:szCs w:val="24"/>
          <w:lang w:val="en-US" w:eastAsia="ru-RU"/>
        </w:rPr>
        <w:t xml:space="preserve"> the Or</w:t>
      </w:r>
      <w:r w:rsidR="00421436">
        <w:rPr>
          <w:sz w:val="24"/>
          <w:szCs w:val="24"/>
          <w:lang w:val="en-US" w:eastAsia="ru-RU"/>
        </w:rPr>
        <w:t>e</w:t>
      </w:r>
      <w:r w:rsidR="00421436" w:rsidRPr="0031788F">
        <w:rPr>
          <w:sz w:val="24"/>
          <w:szCs w:val="24"/>
          <w:lang w:val="en-US" w:eastAsia="ru-RU"/>
        </w:rPr>
        <w:t xml:space="preserve">l region </w:t>
      </w:r>
      <w:r w:rsidR="00421436">
        <w:rPr>
          <w:sz w:val="24"/>
          <w:szCs w:val="24"/>
          <w:lang w:val="en-US" w:eastAsia="ru-RU"/>
        </w:rPr>
        <w:t xml:space="preserve">was </w:t>
      </w:r>
      <w:r w:rsidR="00421436" w:rsidRPr="0031788F">
        <w:rPr>
          <w:sz w:val="24"/>
          <w:szCs w:val="24"/>
          <w:lang w:val="en-US" w:eastAsia="ru-RU"/>
        </w:rPr>
        <w:t xml:space="preserve">assigned to </w:t>
      </w:r>
      <w:r w:rsidR="00421436">
        <w:rPr>
          <w:sz w:val="24"/>
          <w:szCs w:val="24"/>
          <w:lang w:val="en-US" w:eastAsia="ru-RU"/>
        </w:rPr>
        <w:t xml:space="preserve">LLC </w:t>
      </w:r>
      <w:r w:rsidR="00421436" w:rsidRPr="0031788F">
        <w:rPr>
          <w:sz w:val="24"/>
          <w:szCs w:val="24"/>
          <w:lang w:val="en-US" w:eastAsia="ru-RU"/>
        </w:rPr>
        <w:t>"INTER RAO-</w:t>
      </w:r>
      <w:proofErr w:type="spellStart"/>
      <w:r w:rsidR="00421436" w:rsidRPr="0031788F">
        <w:rPr>
          <w:sz w:val="24"/>
          <w:szCs w:val="24"/>
          <w:lang w:val="en-US" w:eastAsia="ru-RU"/>
        </w:rPr>
        <w:t>Orlovsky</w:t>
      </w:r>
      <w:proofErr w:type="spellEnd"/>
      <w:r w:rsidR="00421436" w:rsidRPr="0031788F">
        <w:rPr>
          <w:sz w:val="24"/>
          <w:szCs w:val="24"/>
          <w:lang w:val="en-US" w:eastAsia="ru-RU"/>
        </w:rPr>
        <w:t xml:space="preserve"> </w:t>
      </w:r>
      <w:proofErr w:type="spellStart"/>
      <w:r w:rsidR="00421436">
        <w:rPr>
          <w:sz w:val="24"/>
          <w:szCs w:val="24"/>
          <w:lang w:val="en-US" w:eastAsia="ru-RU"/>
        </w:rPr>
        <w:t>e</w:t>
      </w:r>
      <w:r w:rsidR="00421436" w:rsidRPr="0031788F">
        <w:rPr>
          <w:sz w:val="24"/>
          <w:szCs w:val="24"/>
          <w:lang w:val="en-US" w:eastAsia="ru-RU"/>
        </w:rPr>
        <w:t>nergosb</w:t>
      </w:r>
      <w:r w:rsidR="00421436">
        <w:rPr>
          <w:sz w:val="24"/>
          <w:szCs w:val="24"/>
          <w:lang w:val="en-US" w:eastAsia="ru-RU"/>
        </w:rPr>
        <w:t>y</w:t>
      </w:r>
      <w:r w:rsidR="00421436" w:rsidRPr="0031788F">
        <w:rPr>
          <w:sz w:val="24"/>
          <w:szCs w:val="24"/>
          <w:lang w:val="en-US" w:eastAsia="ru-RU"/>
        </w:rPr>
        <w:t>t</w:t>
      </w:r>
      <w:proofErr w:type="spellEnd"/>
      <w:r w:rsidR="00421436" w:rsidRPr="0031788F">
        <w:rPr>
          <w:sz w:val="24"/>
          <w:szCs w:val="24"/>
          <w:lang w:val="en-US" w:eastAsia="ru-RU"/>
        </w:rPr>
        <w:t>"</w:t>
      </w:r>
      <w:r w:rsidR="00B41CE8" w:rsidRPr="00421436">
        <w:rPr>
          <w:sz w:val="24"/>
          <w:szCs w:val="24"/>
          <w:lang w:val="en-US" w:eastAsia="ru-RU"/>
        </w:rPr>
        <w:t>;</w:t>
      </w:r>
    </w:p>
    <w:p w:rsidR="00F11B9D" w:rsidRPr="00421436" w:rsidRDefault="00F83615" w:rsidP="00E37AB5">
      <w:pPr>
        <w:pStyle w:val="ab"/>
        <w:numPr>
          <w:ilvl w:val="0"/>
          <w:numId w:val="13"/>
        </w:numPr>
        <w:jc w:val="both"/>
        <w:rPr>
          <w:sz w:val="24"/>
          <w:szCs w:val="24"/>
          <w:lang w:val="en-US" w:eastAsia="ru-RU"/>
        </w:rPr>
      </w:pPr>
      <w:r>
        <w:rPr>
          <w:sz w:val="24"/>
          <w:szCs w:val="24"/>
          <w:lang w:val="en-US" w:eastAsia="ru-RU"/>
        </w:rPr>
        <w:t>from</w:t>
      </w:r>
      <w:r w:rsidR="00B41CE8" w:rsidRPr="00421436">
        <w:rPr>
          <w:sz w:val="24"/>
          <w:szCs w:val="24"/>
          <w:lang w:val="en-US" w:eastAsia="ru-RU"/>
        </w:rPr>
        <w:t xml:space="preserve"> 01.04.2014 </w:t>
      </w:r>
      <w:r w:rsidR="00421436" w:rsidRPr="0031788F">
        <w:rPr>
          <w:sz w:val="24"/>
          <w:szCs w:val="24"/>
          <w:lang w:val="en-US" w:eastAsia="ru-RU"/>
        </w:rPr>
        <w:t xml:space="preserve">in the </w:t>
      </w:r>
      <w:proofErr w:type="spellStart"/>
      <w:r w:rsidR="00421436" w:rsidRPr="0031788F">
        <w:rPr>
          <w:sz w:val="24"/>
          <w:szCs w:val="24"/>
          <w:lang w:val="en-US" w:eastAsia="ru-RU"/>
        </w:rPr>
        <w:t>Tver</w:t>
      </w:r>
      <w:proofErr w:type="spellEnd"/>
      <w:r w:rsidR="00421436" w:rsidRPr="0031788F">
        <w:rPr>
          <w:sz w:val="24"/>
          <w:szCs w:val="24"/>
          <w:lang w:val="en-US" w:eastAsia="ru-RU"/>
        </w:rPr>
        <w:t xml:space="preserve"> region </w:t>
      </w:r>
      <w:r w:rsidR="00421436">
        <w:rPr>
          <w:sz w:val="24"/>
          <w:szCs w:val="24"/>
          <w:lang w:val="en-US" w:eastAsia="ru-RU"/>
        </w:rPr>
        <w:t xml:space="preserve">was </w:t>
      </w:r>
      <w:r w:rsidR="00421436" w:rsidRPr="0031788F">
        <w:rPr>
          <w:sz w:val="24"/>
          <w:szCs w:val="24"/>
          <w:lang w:val="en-US" w:eastAsia="ru-RU"/>
        </w:rPr>
        <w:t xml:space="preserve">assigned </w:t>
      </w:r>
      <w:r w:rsidR="00421436">
        <w:rPr>
          <w:sz w:val="24"/>
          <w:szCs w:val="24"/>
          <w:lang w:val="en-US" w:eastAsia="ru-RU"/>
        </w:rPr>
        <w:t>to O</w:t>
      </w:r>
      <w:r w:rsidR="00421436" w:rsidRPr="0031788F">
        <w:rPr>
          <w:sz w:val="24"/>
          <w:szCs w:val="24"/>
          <w:lang w:val="en-US" w:eastAsia="ru-RU"/>
        </w:rPr>
        <w:t>JSC "</w:t>
      </w:r>
      <w:proofErr w:type="spellStart"/>
      <w:r w:rsidR="00421436" w:rsidRPr="0031788F">
        <w:rPr>
          <w:sz w:val="24"/>
          <w:szCs w:val="24"/>
          <w:lang w:val="en-US" w:eastAsia="ru-RU"/>
        </w:rPr>
        <w:t>AtomEnergoSbyt</w:t>
      </w:r>
      <w:proofErr w:type="spellEnd"/>
      <w:r w:rsidR="00421436" w:rsidRPr="0031788F">
        <w:rPr>
          <w:sz w:val="24"/>
          <w:szCs w:val="24"/>
          <w:lang w:val="en-US" w:eastAsia="ru-RU"/>
        </w:rPr>
        <w:t>"</w:t>
      </w:r>
      <w:r w:rsidR="00B41CE8" w:rsidRPr="00421436">
        <w:rPr>
          <w:sz w:val="24"/>
          <w:szCs w:val="24"/>
          <w:lang w:val="en-US" w:eastAsia="ru-RU"/>
        </w:rPr>
        <w:t>;</w:t>
      </w:r>
    </w:p>
    <w:p w:rsidR="00F11B9D" w:rsidRPr="002B586F" w:rsidRDefault="00F83615" w:rsidP="00E37AB5">
      <w:pPr>
        <w:pStyle w:val="ab"/>
        <w:numPr>
          <w:ilvl w:val="0"/>
          <w:numId w:val="13"/>
        </w:numPr>
        <w:jc w:val="both"/>
        <w:rPr>
          <w:sz w:val="24"/>
          <w:szCs w:val="24"/>
          <w:lang w:val="en-US" w:eastAsia="ru-RU"/>
        </w:rPr>
      </w:pPr>
      <w:r>
        <w:rPr>
          <w:sz w:val="24"/>
          <w:szCs w:val="24"/>
          <w:lang w:val="en-US" w:eastAsia="ru-RU"/>
        </w:rPr>
        <w:t>from</w:t>
      </w:r>
      <w:r w:rsidR="00B41CE8" w:rsidRPr="002B586F">
        <w:rPr>
          <w:sz w:val="24"/>
          <w:szCs w:val="24"/>
          <w:lang w:val="en-US" w:eastAsia="ru-RU"/>
        </w:rPr>
        <w:t xml:space="preserve"> 01.04.2014 </w:t>
      </w:r>
      <w:r w:rsidR="00421436" w:rsidRPr="0031788F">
        <w:rPr>
          <w:sz w:val="24"/>
          <w:szCs w:val="24"/>
          <w:lang w:val="en-US" w:eastAsia="ru-RU"/>
        </w:rPr>
        <w:t xml:space="preserve">in </w:t>
      </w:r>
      <w:r w:rsidR="00421436">
        <w:rPr>
          <w:sz w:val="24"/>
          <w:szCs w:val="24"/>
          <w:lang w:val="en-US" w:eastAsia="ru-RU"/>
        </w:rPr>
        <w:t xml:space="preserve">the </w:t>
      </w:r>
      <w:r w:rsidR="00421436" w:rsidRPr="0031788F">
        <w:rPr>
          <w:sz w:val="24"/>
          <w:szCs w:val="24"/>
          <w:lang w:val="en-US" w:eastAsia="ru-RU"/>
        </w:rPr>
        <w:t xml:space="preserve">Kursk region </w:t>
      </w:r>
      <w:r w:rsidR="00421436">
        <w:rPr>
          <w:sz w:val="24"/>
          <w:szCs w:val="24"/>
          <w:lang w:val="en-US" w:eastAsia="ru-RU"/>
        </w:rPr>
        <w:t xml:space="preserve">was </w:t>
      </w:r>
      <w:r w:rsidR="00421436" w:rsidRPr="0031788F">
        <w:rPr>
          <w:sz w:val="24"/>
          <w:szCs w:val="24"/>
          <w:lang w:val="en-US" w:eastAsia="ru-RU"/>
        </w:rPr>
        <w:t xml:space="preserve">assigned </w:t>
      </w:r>
      <w:r w:rsidR="00421436">
        <w:rPr>
          <w:sz w:val="24"/>
          <w:szCs w:val="24"/>
          <w:lang w:val="en-US" w:eastAsia="ru-RU"/>
        </w:rPr>
        <w:t>to O</w:t>
      </w:r>
      <w:r w:rsidR="00421436" w:rsidRPr="0031788F">
        <w:rPr>
          <w:sz w:val="24"/>
          <w:szCs w:val="24"/>
          <w:lang w:val="en-US" w:eastAsia="ru-RU"/>
        </w:rPr>
        <w:t>JSC "</w:t>
      </w:r>
      <w:proofErr w:type="spellStart"/>
      <w:r w:rsidR="00421436" w:rsidRPr="0031788F">
        <w:rPr>
          <w:sz w:val="24"/>
          <w:szCs w:val="24"/>
          <w:lang w:val="en-US" w:eastAsia="ru-RU"/>
        </w:rPr>
        <w:t>AtomEnergoSbyt</w:t>
      </w:r>
      <w:proofErr w:type="spellEnd"/>
      <w:r w:rsidR="00421436" w:rsidRPr="0031788F">
        <w:rPr>
          <w:sz w:val="24"/>
          <w:szCs w:val="24"/>
          <w:lang w:val="en-US" w:eastAsia="ru-RU"/>
        </w:rPr>
        <w:t>"</w:t>
      </w:r>
      <w:r w:rsidR="00B41CE8" w:rsidRPr="002B586F">
        <w:rPr>
          <w:sz w:val="24"/>
          <w:szCs w:val="24"/>
          <w:lang w:val="en-US" w:eastAsia="ru-RU"/>
        </w:rPr>
        <w:t>;</w:t>
      </w:r>
    </w:p>
    <w:p w:rsidR="00F11B9D" w:rsidRPr="002B586F" w:rsidRDefault="00F83615" w:rsidP="00E37AB5">
      <w:pPr>
        <w:pStyle w:val="ab"/>
        <w:numPr>
          <w:ilvl w:val="0"/>
          <w:numId w:val="13"/>
        </w:numPr>
        <w:jc w:val="both"/>
        <w:rPr>
          <w:sz w:val="24"/>
          <w:szCs w:val="24"/>
          <w:lang w:val="en-US" w:eastAsia="ru-RU"/>
        </w:rPr>
      </w:pPr>
      <w:r>
        <w:rPr>
          <w:sz w:val="24"/>
          <w:szCs w:val="24"/>
          <w:lang w:val="en-US" w:eastAsia="ru-RU"/>
        </w:rPr>
        <w:t>from</w:t>
      </w:r>
      <w:r w:rsidR="00B41CE8" w:rsidRPr="002B586F">
        <w:rPr>
          <w:sz w:val="24"/>
          <w:szCs w:val="24"/>
          <w:lang w:val="en-US" w:eastAsia="ru-RU"/>
        </w:rPr>
        <w:t xml:space="preserve"> 01.06.2014 </w:t>
      </w:r>
      <w:r w:rsidR="002B586F" w:rsidRPr="0031788F">
        <w:rPr>
          <w:sz w:val="24"/>
          <w:szCs w:val="24"/>
          <w:lang w:val="en-US" w:eastAsia="ru-RU"/>
        </w:rPr>
        <w:t xml:space="preserve">in the Bryansk region </w:t>
      </w:r>
      <w:r w:rsidR="002B586F">
        <w:rPr>
          <w:sz w:val="24"/>
          <w:szCs w:val="24"/>
          <w:lang w:val="en-US" w:eastAsia="ru-RU"/>
        </w:rPr>
        <w:t>was</w:t>
      </w:r>
      <w:r w:rsidR="002B586F" w:rsidRPr="0031788F">
        <w:rPr>
          <w:sz w:val="24"/>
          <w:szCs w:val="24"/>
          <w:lang w:val="en-US" w:eastAsia="ru-RU"/>
        </w:rPr>
        <w:t xml:space="preserve"> assigned to </w:t>
      </w:r>
      <w:r w:rsidR="002B586F">
        <w:rPr>
          <w:sz w:val="24"/>
          <w:szCs w:val="24"/>
          <w:lang w:val="en-US" w:eastAsia="ru-RU"/>
        </w:rPr>
        <w:t>LLC</w:t>
      </w:r>
      <w:r w:rsidR="002B586F" w:rsidRPr="0031788F">
        <w:rPr>
          <w:sz w:val="24"/>
          <w:szCs w:val="24"/>
          <w:lang w:val="en-US" w:eastAsia="ru-RU"/>
        </w:rPr>
        <w:t xml:space="preserve"> "</w:t>
      </w:r>
      <w:r w:rsidR="002B586F">
        <w:rPr>
          <w:sz w:val="24"/>
          <w:szCs w:val="24"/>
          <w:lang w:val="en-US" w:eastAsia="ru-RU"/>
        </w:rPr>
        <w:t>TEK</w:t>
      </w:r>
      <w:r w:rsidR="002B586F" w:rsidRPr="0031788F">
        <w:rPr>
          <w:sz w:val="24"/>
          <w:szCs w:val="24"/>
          <w:lang w:val="en-US" w:eastAsia="ru-RU"/>
        </w:rPr>
        <w:t>-</w:t>
      </w:r>
      <w:proofErr w:type="spellStart"/>
      <w:r w:rsidR="002B586F" w:rsidRPr="0031788F">
        <w:rPr>
          <w:sz w:val="24"/>
          <w:szCs w:val="24"/>
          <w:lang w:val="en-US" w:eastAsia="ru-RU"/>
        </w:rPr>
        <w:t>Energ</w:t>
      </w:r>
      <w:r w:rsidR="002B586F">
        <w:rPr>
          <w:sz w:val="24"/>
          <w:szCs w:val="24"/>
          <w:lang w:val="en-US" w:eastAsia="ru-RU"/>
        </w:rPr>
        <w:t>o</w:t>
      </w:r>
      <w:proofErr w:type="spellEnd"/>
      <w:r w:rsidR="002B586F" w:rsidRPr="0031788F">
        <w:rPr>
          <w:sz w:val="24"/>
          <w:szCs w:val="24"/>
          <w:lang w:val="en-US" w:eastAsia="ru-RU"/>
        </w:rPr>
        <w:t>"</w:t>
      </w:r>
      <w:r w:rsidR="00B41CE8" w:rsidRPr="002B586F">
        <w:rPr>
          <w:sz w:val="24"/>
          <w:szCs w:val="24"/>
          <w:lang w:val="en-US" w:eastAsia="ru-RU"/>
        </w:rPr>
        <w:t>;</w:t>
      </w:r>
    </w:p>
    <w:p w:rsidR="00F11B9D" w:rsidRPr="002B586F" w:rsidRDefault="00F83615" w:rsidP="00E37AB5">
      <w:pPr>
        <w:pStyle w:val="ab"/>
        <w:numPr>
          <w:ilvl w:val="0"/>
          <w:numId w:val="13"/>
        </w:numPr>
        <w:jc w:val="both"/>
        <w:rPr>
          <w:sz w:val="24"/>
          <w:szCs w:val="24"/>
          <w:lang w:val="en-US" w:eastAsia="ru-RU"/>
        </w:rPr>
      </w:pPr>
      <w:r>
        <w:rPr>
          <w:sz w:val="24"/>
          <w:szCs w:val="24"/>
          <w:lang w:val="en-US" w:eastAsia="ru-RU"/>
        </w:rPr>
        <w:t>from</w:t>
      </w:r>
      <w:r w:rsidR="00B41CE8" w:rsidRPr="002B586F">
        <w:rPr>
          <w:sz w:val="24"/>
          <w:szCs w:val="24"/>
          <w:lang w:val="en-US" w:eastAsia="ru-RU"/>
        </w:rPr>
        <w:t xml:space="preserve"> 01.06.2014 </w:t>
      </w:r>
      <w:r w:rsidR="002B586F">
        <w:rPr>
          <w:sz w:val="24"/>
          <w:szCs w:val="24"/>
          <w:lang w:val="en-US" w:eastAsia="ru-RU"/>
        </w:rPr>
        <w:t>in</w:t>
      </w:r>
      <w:r w:rsidR="002B586F" w:rsidRPr="0031788F">
        <w:rPr>
          <w:sz w:val="24"/>
          <w:szCs w:val="24"/>
          <w:lang w:val="en-US" w:eastAsia="ru-RU"/>
        </w:rPr>
        <w:t xml:space="preserve"> the Smolensk region </w:t>
      </w:r>
      <w:r w:rsidR="002B586F">
        <w:rPr>
          <w:sz w:val="24"/>
          <w:szCs w:val="24"/>
          <w:lang w:val="en-US" w:eastAsia="ru-RU"/>
        </w:rPr>
        <w:t xml:space="preserve">was </w:t>
      </w:r>
      <w:r w:rsidR="002B586F" w:rsidRPr="0031788F">
        <w:rPr>
          <w:sz w:val="24"/>
          <w:szCs w:val="24"/>
          <w:lang w:val="en-US" w:eastAsia="ru-RU"/>
        </w:rPr>
        <w:t xml:space="preserve">assigned </w:t>
      </w:r>
      <w:r w:rsidR="002B586F">
        <w:rPr>
          <w:sz w:val="24"/>
          <w:szCs w:val="24"/>
          <w:lang w:val="en-US" w:eastAsia="ru-RU"/>
        </w:rPr>
        <w:t>to O</w:t>
      </w:r>
      <w:r w:rsidR="002B586F" w:rsidRPr="0031788F">
        <w:rPr>
          <w:sz w:val="24"/>
          <w:szCs w:val="24"/>
          <w:lang w:val="en-US" w:eastAsia="ru-RU"/>
        </w:rPr>
        <w:t>JSC "</w:t>
      </w:r>
      <w:proofErr w:type="spellStart"/>
      <w:r w:rsidR="002B586F" w:rsidRPr="0031788F">
        <w:rPr>
          <w:sz w:val="24"/>
          <w:szCs w:val="24"/>
          <w:lang w:val="en-US" w:eastAsia="ru-RU"/>
        </w:rPr>
        <w:t>AtomEnergoSbyt</w:t>
      </w:r>
      <w:proofErr w:type="spellEnd"/>
      <w:r w:rsidR="002B586F" w:rsidRPr="0031788F">
        <w:rPr>
          <w:sz w:val="24"/>
          <w:szCs w:val="24"/>
          <w:lang w:val="en-US" w:eastAsia="ru-RU"/>
        </w:rPr>
        <w:t>"</w:t>
      </w:r>
      <w:r w:rsidR="00B41CE8" w:rsidRPr="002B586F">
        <w:rPr>
          <w:sz w:val="24"/>
          <w:szCs w:val="24"/>
          <w:lang w:val="en-US" w:eastAsia="ru-RU"/>
        </w:rPr>
        <w:t>;</w:t>
      </w:r>
    </w:p>
    <w:p w:rsidR="00B41CE8" w:rsidRPr="002B586F" w:rsidRDefault="00F83615" w:rsidP="00E37AB5">
      <w:pPr>
        <w:pStyle w:val="ab"/>
        <w:numPr>
          <w:ilvl w:val="0"/>
          <w:numId w:val="13"/>
        </w:numPr>
        <w:jc w:val="both"/>
        <w:rPr>
          <w:sz w:val="24"/>
          <w:szCs w:val="24"/>
          <w:lang w:val="en-US" w:eastAsia="ru-RU"/>
        </w:rPr>
      </w:pPr>
      <w:proofErr w:type="gramStart"/>
      <w:r>
        <w:rPr>
          <w:sz w:val="24"/>
          <w:szCs w:val="24"/>
          <w:lang w:val="en-US" w:eastAsia="ru-RU"/>
        </w:rPr>
        <w:t>from</w:t>
      </w:r>
      <w:proofErr w:type="gramEnd"/>
      <w:r w:rsidR="00B41CE8" w:rsidRPr="002B586F">
        <w:rPr>
          <w:sz w:val="24"/>
          <w:szCs w:val="24"/>
          <w:lang w:val="en-US" w:eastAsia="ru-RU"/>
        </w:rPr>
        <w:t xml:space="preserve"> 01.12.2014 </w:t>
      </w:r>
      <w:r w:rsidR="002B586F">
        <w:rPr>
          <w:sz w:val="24"/>
          <w:szCs w:val="24"/>
          <w:lang w:val="en-US" w:eastAsia="ru-RU"/>
        </w:rPr>
        <w:t>i</w:t>
      </w:r>
      <w:r w:rsidR="002B586F" w:rsidRPr="0031788F">
        <w:rPr>
          <w:sz w:val="24"/>
          <w:szCs w:val="24"/>
          <w:lang w:val="en-US" w:eastAsia="ru-RU"/>
        </w:rPr>
        <w:t xml:space="preserve">n the </w:t>
      </w:r>
      <w:proofErr w:type="spellStart"/>
      <w:r w:rsidR="002B586F" w:rsidRPr="0031788F">
        <w:rPr>
          <w:sz w:val="24"/>
          <w:szCs w:val="24"/>
          <w:lang w:val="en-US" w:eastAsia="ru-RU"/>
        </w:rPr>
        <w:t>Tver</w:t>
      </w:r>
      <w:proofErr w:type="spellEnd"/>
      <w:r w:rsidR="002B586F" w:rsidRPr="0031788F">
        <w:rPr>
          <w:sz w:val="24"/>
          <w:szCs w:val="24"/>
          <w:lang w:val="en-US" w:eastAsia="ru-RU"/>
        </w:rPr>
        <w:t xml:space="preserve"> region with respect to the second </w:t>
      </w:r>
      <w:r w:rsidR="002B586F">
        <w:rPr>
          <w:sz w:val="24"/>
          <w:szCs w:val="24"/>
          <w:lang w:val="en-US" w:eastAsia="ru-RU"/>
        </w:rPr>
        <w:t xml:space="preserve">service </w:t>
      </w:r>
      <w:r w:rsidR="002B586F" w:rsidRPr="0031788F">
        <w:rPr>
          <w:sz w:val="24"/>
          <w:szCs w:val="24"/>
          <w:lang w:val="en-US" w:eastAsia="ru-RU"/>
        </w:rPr>
        <w:t xml:space="preserve">area </w:t>
      </w:r>
      <w:r w:rsidR="002B586F">
        <w:rPr>
          <w:sz w:val="24"/>
          <w:szCs w:val="24"/>
          <w:lang w:val="en-US" w:eastAsia="ru-RU"/>
        </w:rPr>
        <w:t xml:space="preserve">of </w:t>
      </w:r>
      <w:r w:rsidR="002B586F" w:rsidRPr="0031788F">
        <w:rPr>
          <w:sz w:val="24"/>
          <w:szCs w:val="24"/>
          <w:lang w:val="en-US" w:eastAsia="ru-RU"/>
        </w:rPr>
        <w:t xml:space="preserve">IDGC of Centre </w:t>
      </w:r>
      <w:r w:rsidR="002B586F">
        <w:rPr>
          <w:sz w:val="24"/>
          <w:szCs w:val="24"/>
          <w:lang w:val="en-US" w:eastAsia="ru-RU"/>
        </w:rPr>
        <w:t>was</w:t>
      </w:r>
      <w:r w:rsidR="002B586F" w:rsidRPr="0031788F">
        <w:rPr>
          <w:sz w:val="24"/>
          <w:szCs w:val="24"/>
          <w:lang w:val="en-US" w:eastAsia="ru-RU"/>
        </w:rPr>
        <w:t xml:space="preserve"> assigned to </w:t>
      </w:r>
      <w:r w:rsidR="002B586F">
        <w:rPr>
          <w:sz w:val="24"/>
          <w:szCs w:val="24"/>
          <w:lang w:val="en-US" w:eastAsia="ru-RU"/>
        </w:rPr>
        <w:t xml:space="preserve">ZAO </w:t>
      </w:r>
      <w:r w:rsidR="002B586F" w:rsidRPr="0031788F">
        <w:rPr>
          <w:sz w:val="24"/>
          <w:szCs w:val="24"/>
          <w:lang w:val="en-US" w:eastAsia="ru-RU"/>
        </w:rPr>
        <w:t>"</w:t>
      </w:r>
      <w:proofErr w:type="spellStart"/>
      <w:r w:rsidR="002B586F" w:rsidRPr="0031788F">
        <w:rPr>
          <w:sz w:val="24"/>
          <w:szCs w:val="24"/>
          <w:lang w:val="en-US" w:eastAsia="ru-RU"/>
        </w:rPr>
        <w:t>Transservisenergo</w:t>
      </w:r>
      <w:proofErr w:type="spellEnd"/>
      <w:r w:rsidR="002B586F" w:rsidRPr="0031788F">
        <w:rPr>
          <w:sz w:val="24"/>
          <w:szCs w:val="24"/>
          <w:lang w:val="en-US" w:eastAsia="ru-RU"/>
        </w:rPr>
        <w:t>"</w:t>
      </w:r>
      <w:r w:rsidR="00B41CE8" w:rsidRPr="002B586F">
        <w:rPr>
          <w:sz w:val="24"/>
          <w:szCs w:val="24"/>
          <w:lang w:val="en-US" w:eastAsia="ru-RU"/>
        </w:rPr>
        <w:t>.</w:t>
      </w:r>
    </w:p>
    <w:p w:rsidR="007228F8" w:rsidRPr="002B586F" w:rsidRDefault="007228F8" w:rsidP="00B41CE8">
      <w:pPr>
        <w:ind w:firstLine="708"/>
        <w:jc w:val="both"/>
        <w:rPr>
          <w:sz w:val="24"/>
          <w:szCs w:val="24"/>
          <w:lang w:val="en-US" w:eastAsia="ru-RU"/>
        </w:rPr>
      </w:pPr>
    </w:p>
    <w:p w:rsidR="007228F8" w:rsidRPr="00291255" w:rsidRDefault="00291255" w:rsidP="007228F8">
      <w:pPr>
        <w:ind w:firstLine="720"/>
        <w:jc w:val="both"/>
        <w:rPr>
          <w:sz w:val="24"/>
          <w:szCs w:val="24"/>
          <w:lang w:val="en-US" w:eastAsia="ru-RU"/>
        </w:rPr>
      </w:pPr>
      <w:r>
        <w:rPr>
          <w:sz w:val="24"/>
          <w:szCs w:val="24"/>
          <w:lang w:val="en-US" w:eastAsia="ru-RU"/>
        </w:rPr>
        <w:t>The</w:t>
      </w:r>
      <w:r w:rsidRPr="00291255">
        <w:rPr>
          <w:sz w:val="24"/>
          <w:szCs w:val="24"/>
          <w:lang w:val="en-US" w:eastAsia="ru-RU"/>
        </w:rPr>
        <w:t xml:space="preserve"> </w:t>
      </w:r>
      <w:r>
        <w:rPr>
          <w:sz w:val="24"/>
          <w:szCs w:val="24"/>
          <w:lang w:val="en-US" w:eastAsia="ru-RU"/>
        </w:rPr>
        <w:t>p</w:t>
      </w:r>
      <w:r w:rsidRPr="00291255">
        <w:rPr>
          <w:sz w:val="24"/>
          <w:szCs w:val="24"/>
          <w:lang w:val="en-US" w:eastAsia="ru-RU"/>
        </w:rPr>
        <w:t xml:space="preserve">rofit and </w:t>
      </w:r>
      <w:r>
        <w:rPr>
          <w:sz w:val="24"/>
          <w:szCs w:val="24"/>
          <w:lang w:val="en-US" w:eastAsia="ru-RU"/>
        </w:rPr>
        <w:t>l</w:t>
      </w:r>
      <w:r w:rsidRPr="00291255">
        <w:rPr>
          <w:sz w:val="24"/>
          <w:szCs w:val="24"/>
          <w:lang w:val="en-US" w:eastAsia="ru-RU"/>
        </w:rPr>
        <w:t xml:space="preserve">oss </w:t>
      </w:r>
      <w:r>
        <w:rPr>
          <w:sz w:val="24"/>
          <w:szCs w:val="24"/>
          <w:lang w:val="en-US" w:eastAsia="ru-RU"/>
        </w:rPr>
        <w:t>statement</w:t>
      </w:r>
      <w:r w:rsidRPr="00291255">
        <w:rPr>
          <w:sz w:val="24"/>
          <w:szCs w:val="24"/>
          <w:lang w:val="en-US" w:eastAsia="ru-RU"/>
        </w:rPr>
        <w:t xml:space="preserve"> </w:t>
      </w:r>
      <w:r w:rsidRPr="0031788F">
        <w:rPr>
          <w:sz w:val="24"/>
          <w:szCs w:val="24"/>
          <w:lang w:val="en-US" w:eastAsia="ru-RU"/>
        </w:rPr>
        <w:t>reflect</w:t>
      </w:r>
      <w:r>
        <w:rPr>
          <w:sz w:val="24"/>
          <w:szCs w:val="24"/>
          <w:lang w:val="en-US" w:eastAsia="ru-RU"/>
        </w:rPr>
        <w:t>s</w:t>
      </w:r>
      <w:r w:rsidRPr="0031788F">
        <w:rPr>
          <w:sz w:val="24"/>
          <w:szCs w:val="24"/>
          <w:lang w:val="en-US" w:eastAsia="ru-RU"/>
        </w:rPr>
        <w:t xml:space="preserve"> proceeds from the sale of electric</w:t>
      </w:r>
      <w:r>
        <w:rPr>
          <w:sz w:val="24"/>
          <w:szCs w:val="24"/>
          <w:lang w:val="en-US" w:eastAsia="ru-RU"/>
        </w:rPr>
        <w:t xml:space="preserve"> energy </w:t>
      </w:r>
      <w:r w:rsidRPr="0031788F">
        <w:rPr>
          <w:sz w:val="24"/>
          <w:szCs w:val="24"/>
          <w:lang w:val="en-US" w:eastAsia="ru-RU"/>
        </w:rPr>
        <w:t xml:space="preserve">and </w:t>
      </w:r>
      <w:r>
        <w:rPr>
          <w:sz w:val="24"/>
          <w:szCs w:val="24"/>
          <w:lang w:val="en-US" w:eastAsia="ru-RU"/>
        </w:rPr>
        <w:t>power</w:t>
      </w:r>
      <w:r w:rsidRPr="0031788F">
        <w:rPr>
          <w:sz w:val="24"/>
          <w:szCs w:val="24"/>
          <w:lang w:val="en-US" w:eastAsia="ru-RU"/>
        </w:rPr>
        <w:t xml:space="preserve">, including </w:t>
      </w:r>
      <w:r>
        <w:rPr>
          <w:sz w:val="24"/>
          <w:szCs w:val="24"/>
          <w:lang w:val="en-US" w:eastAsia="ru-RU"/>
        </w:rPr>
        <w:t>the</w:t>
      </w:r>
      <w:r w:rsidRPr="0031788F">
        <w:rPr>
          <w:sz w:val="24"/>
          <w:szCs w:val="24"/>
          <w:lang w:val="en-US" w:eastAsia="ru-RU"/>
        </w:rPr>
        <w:t xml:space="preserve"> </w:t>
      </w:r>
      <w:r>
        <w:rPr>
          <w:sz w:val="24"/>
          <w:szCs w:val="24"/>
          <w:lang w:val="en-US" w:eastAsia="ru-RU"/>
        </w:rPr>
        <w:t xml:space="preserve">transmission </w:t>
      </w:r>
      <w:r w:rsidRPr="0031788F">
        <w:rPr>
          <w:sz w:val="24"/>
          <w:szCs w:val="24"/>
          <w:lang w:val="en-US" w:eastAsia="ru-RU"/>
        </w:rPr>
        <w:t>component of electric</w:t>
      </w:r>
      <w:r>
        <w:rPr>
          <w:sz w:val="24"/>
          <w:szCs w:val="24"/>
          <w:lang w:val="en-US" w:eastAsia="ru-RU"/>
        </w:rPr>
        <w:t xml:space="preserve"> energy </w:t>
      </w:r>
      <w:r w:rsidRPr="0031788F">
        <w:rPr>
          <w:sz w:val="24"/>
          <w:szCs w:val="24"/>
          <w:lang w:val="en-US" w:eastAsia="ru-RU"/>
        </w:rPr>
        <w:t xml:space="preserve">and </w:t>
      </w:r>
      <w:r>
        <w:rPr>
          <w:sz w:val="24"/>
          <w:szCs w:val="24"/>
          <w:lang w:val="en-US" w:eastAsia="ru-RU"/>
        </w:rPr>
        <w:t>power</w:t>
      </w:r>
      <w:r w:rsidR="007228F8" w:rsidRPr="00291255">
        <w:rPr>
          <w:sz w:val="24"/>
          <w:szCs w:val="24"/>
          <w:lang w:val="en-US" w:eastAsia="ru-RU"/>
        </w:rPr>
        <w:t>.</w:t>
      </w:r>
    </w:p>
    <w:p w:rsidR="007228F8" w:rsidRPr="00E3188C" w:rsidRDefault="001F7D07" w:rsidP="007228F8">
      <w:pPr>
        <w:ind w:firstLine="720"/>
        <w:jc w:val="both"/>
        <w:rPr>
          <w:sz w:val="24"/>
          <w:szCs w:val="24"/>
          <w:lang w:val="ru-RU" w:eastAsia="ru-RU"/>
        </w:rPr>
      </w:pPr>
      <w:r w:rsidRPr="0031788F">
        <w:rPr>
          <w:sz w:val="24"/>
          <w:szCs w:val="24"/>
          <w:lang w:val="en-US" w:eastAsia="ru-RU"/>
        </w:rPr>
        <w:t xml:space="preserve">For 2014 from the activities of </w:t>
      </w:r>
      <w:r>
        <w:rPr>
          <w:sz w:val="24"/>
          <w:szCs w:val="24"/>
          <w:lang w:val="en-US" w:eastAsia="ru-RU"/>
        </w:rPr>
        <w:t>the</w:t>
      </w:r>
      <w:r w:rsidRPr="0031788F">
        <w:rPr>
          <w:sz w:val="24"/>
          <w:szCs w:val="24"/>
          <w:lang w:val="en-US" w:eastAsia="ru-RU"/>
        </w:rPr>
        <w:t xml:space="preserve"> supplier of </w:t>
      </w:r>
      <w:r>
        <w:rPr>
          <w:sz w:val="24"/>
          <w:szCs w:val="24"/>
          <w:lang w:val="en-US" w:eastAsia="ru-RU"/>
        </w:rPr>
        <w:t xml:space="preserve">last resort </w:t>
      </w:r>
      <w:r w:rsidRPr="0031788F">
        <w:rPr>
          <w:sz w:val="24"/>
          <w:szCs w:val="24"/>
          <w:lang w:val="en-US" w:eastAsia="ru-RU"/>
        </w:rPr>
        <w:t xml:space="preserve">the cash </w:t>
      </w:r>
      <w:r>
        <w:rPr>
          <w:sz w:val="24"/>
          <w:szCs w:val="24"/>
          <w:lang w:val="en-US" w:eastAsia="ru-RU"/>
        </w:rPr>
        <w:t xml:space="preserve">was </w:t>
      </w:r>
      <w:r w:rsidRPr="0031788F">
        <w:rPr>
          <w:sz w:val="24"/>
          <w:szCs w:val="24"/>
          <w:lang w:val="en-US" w:eastAsia="ru-RU"/>
        </w:rPr>
        <w:t>received from the sale of electric</w:t>
      </w:r>
      <w:r>
        <w:rPr>
          <w:sz w:val="24"/>
          <w:szCs w:val="24"/>
          <w:lang w:val="en-US" w:eastAsia="ru-RU"/>
        </w:rPr>
        <w:t xml:space="preserve"> energy and power </w:t>
      </w:r>
      <w:r w:rsidRPr="0031788F">
        <w:rPr>
          <w:sz w:val="24"/>
          <w:szCs w:val="24"/>
          <w:lang w:val="en-US" w:eastAsia="ru-RU"/>
        </w:rPr>
        <w:t xml:space="preserve">in the amount of </w:t>
      </w:r>
      <w:r w:rsidR="007228F8" w:rsidRPr="001F7D07">
        <w:rPr>
          <w:sz w:val="24"/>
          <w:szCs w:val="24"/>
          <w:lang w:val="en-US" w:eastAsia="ru-RU"/>
        </w:rPr>
        <w:t xml:space="preserve">14 029 749 </w:t>
      </w:r>
      <w:proofErr w:type="spellStart"/>
      <w:r w:rsidR="008F47BD" w:rsidRPr="001F7D07">
        <w:rPr>
          <w:sz w:val="24"/>
          <w:szCs w:val="24"/>
          <w:lang w:val="en-US" w:eastAsia="ru-RU"/>
        </w:rPr>
        <w:t>thous</w:t>
      </w:r>
      <w:proofErr w:type="spellEnd"/>
      <w:r w:rsidR="008F47BD" w:rsidRPr="001F7D07">
        <w:rPr>
          <w:sz w:val="24"/>
          <w:szCs w:val="24"/>
          <w:lang w:val="en-US" w:eastAsia="ru-RU"/>
        </w:rPr>
        <w:t xml:space="preserve">. </w:t>
      </w:r>
      <w:r w:rsidR="008F47BD" w:rsidRPr="0037231A">
        <w:rPr>
          <w:sz w:val="24"/>
          <w:szCs w:val="24"/>
          <w:lang w:val="en-US" w:eastAsia="ru-RU"/>
        </w:rPr>
        <w:t>RUB</w:t>
      </w:r>
      <w:r w:rsidR="007228F8" w:rsidRPr="0037231A">
        <w:rPr>
          <w:sz w:val="24"/>
          <w:szCs w:val="24"/>
          <w:lang w:val="en-US" w:eastAsia="ru-RU"/>
        </w:rPr>
        <w:t xml:space="preserve"> (</w:t>
      </w:r>
      <w:r w:rsidRPr="0031788F">
        <w:rPr>
          <w:sz w:val="24"/>
          <w:szCs w:val="24"/>
          <w:lang w:val="en-US" w:eastAsia="ru-RU"/>
        </w:rPr>
        <w:t>without</w:t>
      </w:r>
      <w:r w:rsidRPr="0037231A">
        <w:rPr>
          <w:sz w:val="24"/>
          <w:szCs w:val="24"/>
          <w:lang w:val="en-US" w:eastAsia="ru-RU"/>
        </w:rPr>
        <w:t xml:space="preserve"> </w:t>
      </w:r>
      <w:r w:rsidRPr="0031788F">
        <w:rPr>
          <w:sz w:val="24"/>
          <w:szCs w:val="24"/>
          <w:lang w:val="en-US" w:eastAsia="ru-RU"/>
        </w:rPr>
        <w:t>VAT</w:t>
      </w:r>
      <w:r w:rsidR="007228F8" w:rsidRPr="0037231A">
        <w:rPr>
          <w:sz w:val="24"/>
          <w:szCs w:val="24"/>
          <w:lang w:val="en-US" w:eastAsia="ru-RU"/>
        </w:rPr>
        <w:t xml:space="preserve">), </w:t>
      </w:r>
      <w:r w:rsidR="0037231A" w:rsidRPr="0031788F">
        <w:rPr>
          <w:sz w:val="24"/>
          <w:szCs w:val="24"/>
          <w:lang w:val="en-US" w:eastAsia="ru-RU"/>
        </w:rPr>
        <w:t xml:space="preserve">payments </w:t>
      </w:r>
      <w:r w:rsidR="0037231A">
        <w:rPr>
          <w:sz w:val="24"/>
          <w:szCs w:val="24"/>
          <w:lang w:val="en-US" w:eastAsia="ru-RU"/>
        </w:rPr>
        <w:t xml:space="preserve">were </w:t>
      </w:r>
      <w:r w:rsidR="0037231A" w:rsidRPr="0031788F">
        <w:rPr>
          <w:sz w:val="24"/>
          <w:szCs w:val="24"/>
          <w:lang w:val="en-US" w:eastAsia="ru-RU"/>
        </w:rPr>
        <w:t>made for the purchase of electric</w:t>
      </w:r>
      <w:r w:rsidR="0037231A">
        <w:rPr>
          <w:sz w:val="24"/>
          <w:szCs w:val="24"/>
          <w:lang w:val="en-US" w:eastAsia="ru-RU"/>
        </w:rPr>
        <w:t xml:space="preserve"> energy and power </w:t>
      </w:r>
      <w:r w:rsidR="0037231A" w:rsidRPr="0031788F">
        <w:rPr>
          <w:sz w:val="24"/>
          <w:szCs w:val="24"/>
          <w:lang w:val="en-US" w:eastAsia="ru-RU"/>
        </w:rPr>
        <w:t>in the amount of</w:t>
      </w:r>
      <w:r w:rsidR="0037231A" w:rsidRPr="0037231A">
        <w:rPr>
          <w:sz w:val="24"/>
          <w:szCs w:val="24"/>
          <w:lang w:val="en-US" w:eastAsia="ru-RU"/>
        </w:rPr>
        <w:t xml:space="preserve"> </w:t>
      </w:r>
      <w:r w:rsidR="007228F8" w:rsidRPr="0037231A">
        <w:rPr>
          <w:sz w:val="24"/>
          <w:szCs w:val="24"/>
          <w:lang w:val="en-US" w:eastAsia="ru-RU"/>
        </w:rPr>
        <w:t xml:space="preserve">10 127 989 </w:t>
      </w:r>
      <w:proofErr w:type="spellStart"/>
      <w:r w:rsidR="008F47BD" w:rsidRPr="0037231A">
        <w:rPr>
          <w:sz w:val="24"/>
          <w:szCs w:val="24"/>
          <w:lang w:val="en-US" w:eastAsia="ru-RU"/>
        </w:rPr>
        <w:t>thous</w:t>
      </w:r>
      <w:proofErr w:type="spellEnd"/>
      <w:r w:rsidR="008F47BD" w:rsidRPr="0037231A">
        <w:rPr>
          <w:sz w:val="24"/>
          <w:szCs w:val="24"/>
          <w:lang w:val="en-US" w:eastAsia="ru-RU"/>
        </w:rPr>
        <w:t xml:space="preserve">. </w:t>
      </w:r>
      <w:r w:rsidR="008F47BD">
        <w:rPr>
          <w:sz w:val="24"/>
          <w:szCs w:val="24"/>
          <w:lang w:val="ru-RU" w:eastAsia="ru-RU"/>
        </w:rPr>
        <w:t>RUB</w:t>
      </w:r>
      <w:r w:rsidR="007228F8" w:rsidRPr="00E3188C">
        <w:rPr>
          <w:sz w:val="24"/>
          <w:szCs w:val="24"/>
          <w:lang w:val="ru-RU" w:eastAsia="ru-RU"/>
        </w:rPr>
        <w:t xml:space="preserve"> (</w:t>
      </w:r>
      <w:r w:rsidRPr="0031788F">
        <w:rPr>
          <w:sz w:val="24"/>
          <w:szCs w:val="24"/>
          <w:lang w:val="en-US" w:eastAsia="ru-RU"/>
        </w:rPr>
        <w:t>without</w:t>
      </w:r>
      <w:r w:rsidRPr="001F7D07">
        <w:rPr>
          <w:sz w:val="24"/>
          <w:szCs w:val="24"/>
          <w:lang w:val="ru-RU" w:eastAsia="ru-RU"/>
        </w:rPr>
        <w:t xml:space="preserve"> </w:t>
      </w:r>
      <w:r w:rsidRPr="0031788F">
        <w:rPr>
          <w:sz w:val="24"/>
          <w:szCs w:val="24"/>
          <w:lang w:val="en-US" w:eastAsia="ru-RU"/>
        </w:rPr>
        <w:t>VAT</w:t>
      </w:r>
      <w:r w:rsidR="007228F8" w:rsidRPr="00E3188C">
        <w:rPr>
          <w:sz w:val="24"/>
          <w:szCs w:val="24"/>
          <w:lang w:val="ru-RU" w:eastAsia="ru-RU"/>
        </w:rPr>
        <w:t>).</w:t>
      </w:r>
    </w:p>
    <w:p w:rsidR="006E66FC" w:rsidRDefault="006E66FC" w:rsidP="006E66FC">
      <w:pPr>
        <w:ind w:firstLine="709"/>
        <w:jc w:val="both"/>
        <w:rPr>
          <w:sz w:val="26"/>
          <w:szCs w:val="26"/>
          <w:lang w:val="ru-RU"/>
        </w:rPr>
      </w:pPr>
    </w:p>
    <w:p w:rsidR="0023664B" w:rsidRPr="00836721" w:rsidRDefault="0023664B" w:rsidP="006E66FC">
      <w:pPr>
        <w:ind w:firstLine="709"/>
        <w:jc w:val="both"/>
        <w:rPr>
          <w:sz w:val="26"/>
          <w:szCs w:val="26"/>
          <w:lang w:val="ru-RU"/>
        </w:rPr>
      </w:pPr>
    </w:p>
    <w:p w:rsidR="000D1E4E" w:rsidRPr="007C4502" w:rsidRDefault="007C4502" w:rsidP="00C60265">
      <w:pPr>
        <w:pStyle w:val="8"/>
        <w:rPr>
          <w:lang w:val="en-US"/>
        </w:rPr>
      </w:pPr>
      <w:r w:rsidRPr="004B0EB0">
        <w:rPr>
          <w:lang w:val="en-US"/>
        </w:rPr>
        <w:t>Policy concerning borrowed funds, managements of risks</w:t>
      </w:r>
    </w:p>
    <w:p w:rsidR="0079598B" w:rsidRPr="007C4502" w:rsidRDefault="0079598B" w:rsidP="000D1E4E">
      <w:pPr>
        <w:ind w:firstLine="709"/>
        <w:jc w:val="both"/>
        <w:rPr>
          <w:rFonts w:ascii="13" w:hAnsi="13"/>
          <w:b/>
          <w:bCs/>
          <w:sz w:val="24"/>
          <w:szCs w:val="24"/>
          <w:lang w:val="en-US"/>
        </w:rPr>
      </w:pPr>
    </w:p>
    <w:p w:rsidR="000D1E4E" w:rsidRPr="00B7661E" w:rsidRDefault="00B7661E" w:rsidP="000D1E4E">
      <w:pPr>
        <w:ind w:firstLine="709"/>
        <w:jc w:val="both"/>
        <w:rPr>
          <w:sz w:val="24"/>
          <w:szCs w:val="24"/>
          <w:lang w:val="en-US" w:eastAsia="ru-RU"/>
        </w:rPr>
      </w:pPr>
      <w:r w:rsidRPr="004B0EB0">
        <w:rPr>
          <w:sz w:val="24"/>
          <w:szCs w:val="24"/>
          <w:lang w:val="en-US" w:eastAsia="ru-RU"/>
        </w:rPr>
        <w:t xml:space="preserve">In case of appearance of one or several of the above mentioned risks IDGC of Centre will take all possible measures on </w:t>
      </w:r>
      <w:proofErr w:type="spellStart"/>
      <w:r w:rsidRPr="004B0EB0">
        <w:rPr>
          <w:sz w:val="24"/>
          <w:szCs w:val="24"/>
          <w:lang w:val="en-US" w:eastAsia="ru-RU"/>
        </w:rPr>
        <w:t>minimisation</w:t>
      </w:r>
      <w:proofErr w:type="spellEnd"/>
      <w:r w:rsidRPr="004B0EB0">
        <w:rPr>
          <w:sz w:val="24"/>
          <w:szCs w:val="24"/>
          <w:lang w:val="en-US" w:eastAsia="ru-RU"/>
        </w:rPr>
        <w:t xml:space="preserve"> of negative consequences. Possible events for Company actions are developed for </w:t>
      </w:r>
      <w:proofErr w:type="spellStart"/>
      <w:r w:rsidRPr="004B0EB0">
        <w:rPr>
          <w:sz w:val="24"/>
          <w:szCs w:val="24"/>
          <w:lang w:val="en-US" w:eastAsia="ru-RU"/>
        </w:rPr>
        <w:t>neutralisation</w:t>
      </w:r>
      <w:proofErr w:type="spellEnd"/>
      <w:r w:rsidRPr="004B0EB0">
        <w:rPr>
          <w:sz w:val="24"/>
          <w:szCs w:val="24"/>
          <w:lang w:val="en-US" w:eastAsia="ru-RU"/>
        </w:rPr>
        <w:t xml:space="preserve"> of a part of risks when this or that risk occurs. However, it is necessary to note that preliminary development of measures adequate to corresponding events is complicated by uncertainty of development of a situation, and </w:t>
      </w:r>
      <w:proofErr w:type="spellStart"/>
      <w:r w:rsidRPr="004B0EB0">
        <w:rPr>
          <w:sz w:val="24"/>
          <w:szCs w:val="24"/>
          <w:lang w:val="en-US" w:eastAsia="ru-RU"/>
        </w:rPr>
        <w:t>parametres</w:t>
      </w:r>
      <w:proofErr w:type="spellEnd"/>
      <w:r w:rsidRPr="004B0EB0">
        <w:rPr>
          <w:sz w:val="24"/>
          <w:szCs w:val="24"/>
          <w:lang w:val="en-US" w:eastAsia="ru-RU"/>
        </w:rPr>
        <w:t xml:space="preserve"> of conducted events will depend in a greater degree on features of the created situation in each specific case. IDGC of Centre cannot warrant that the actions directed on overcoming of arisen negative changes, can lead to the situation correction as the described factors are </w:t>
      </w:r>
      <w:r>
        <w:rPr>
          <w:sz w:val="24"/>
          <w:szCs w:val="24"/>
          <w:lang w:val="en-US" w:eastAsia="ru-RU"/>
        </w:rPr>
        <w:t>beyond</w:t>
      </w:r>
      <w:r w:rsidRPr="004B0EB0">
        <w:rPr>
          <w:sz w:val="24"/>
          <w:szCs w:val="24"/>
          <w:lang w:val="en-US" w:eastAsia="ru-RU"/>
        </w:rPr>
        <w:t xml:space="preserve"> the Company’s control</w:t>
      </w:r>
      <w:r w:rsidR="000D1E4E" w:rsidRPr="00B7661E">
        <w:rPr>
          <w:sz w:val="24"/>
          <w:szCs w:val="24"/>
          <w:lang w:val="en-US" w:eastAsia="ru-RU"/>
        </w:rPr>
        <w:t>.</w:t>
      </w:r>
    </w:p>
    <w:p w:rsidR="00706597" w:rsidRPr="00B7661E" w:rsidRDefault="00706597" w:rsidP="001070C5">
      <w:pPr>
        <w:spacing w:before="120" w:after="120"/>
        <w:ind w:firstLine="709"/>
        <w:jc w:val="both"/>
        <w:rPr>
          <w:b/>
          <w:i/>
          <w:sz w:val="24"/>
          <w:szCs w:val="24"/>
          <w:lang w:val="en-US" w:eastAsia="ru-RU"/>
        </w:rPr>
      </w:pPr>
    </w:p>
    <w:p w:rsidR="000D1E4E" w:rsidRPr="005602B6" w:rsidRDefault="005602B6" w:rsidP="001070C5">
      <w:pPr>
        <w:spacing w:before="120" w:after="120"/>
        <w:ind w:firstLine="709"/>
        <w:jc w:val="both"/>
        <w:rPr>
          <w:b/>
          <w:i/>
          <w:sz w:val="24"/>
          <w:szCs w:val="24"/>
          <w:lang w:val="en-US" w:eastAsia="ru-RU"/>
        </w:rPr>
      </w:pPr>
      <w:r w:rsidRPr="00ED0B48">
        <w:rPr>
          <w:b/>
          <w:i/>
          <w:sz w:val="24"/>
          <w:szCs w:val="24"/>
          <w:lang w:val="en-US" w:eastAsia="ru-RU"/>
        </w:rPr>
        <w:t>Risks associated with changes in foreign exchange rates</w:t>
      </w:r>
    </w:p>
    <w:p w:rsidR="00577193" w:rsidRPr="00884712" w:rsidRDefault="00577193" w:rsidP="00577193">
      <w:pPr>
        <w:ind w:firstLine="709"/>
        <w:jc w:val="both"/>
        <w:rPr>
          <w:sz w:val="24"/>
          <w:szCs w:val="24"/>
          <w:lang w:val="en-US" w:eastAsia="ru-RU"/>
        </w:rPr>
      </w:pPr>
      <w:r w:rsidRPr="00884712">
        <w:rPr>
          <w:sz w:val="24"/>
          <w:szCs w:val="24"/>
          <w:lang w:val="en-US" w:eastAsia="ru-RU"/>
        </w:rPr>
        <w:t>Companies conducting foreign trade are subject to this risk. It manifests itself in the shortfall of income provided by the direct effects of changes in foreign exchange rate used in foreign operations, the expected cash flows from these transactions.</w:t>
      </w:r>
    </w:p>
    <w:p w:rsidR="000D1E4E" w:rsidRPr="00577193" w:rsidRDefault="00577193" w:rsidP="00577193">
      <w:pPr>
        <w:ind w:firstLine="709"/>
        <w:jc w:val="both"/>
        <w:rPr>
          <w:sz w:val="24"/>
          <w:szCs w:val="24"/>
          <w:lang w:val="en-US" w:eastAsia="ru-RU"/>
        </w:rPr>
      </w:pPr>
      <w:r w:rsidRPr="00884712">
        <w:rPr>
          <w:sz w:val="24"/>
          <w:szCs w:val="24"/>
          <w:lang w:val="en-US" w:eastAsia="ru-RU"/>
        </w:rPr>
        <w:t>The Company sells services on the domestic market of the Russian Federation with settlements in rubles (the Russian Federation currency), in connection with what it is not exposed to changes in foreign currency exchange rates. It should be noted that the Company, implementing its investment program, can purchase products from foreign suppliers, whose cost of services depends on exchange rate fluctuations. In this regard, we can say that for the Company the foreign exchange risk is minimal</w:t>
      </w:r>
      <w:r w:rsidR="007228F8" w:rsidRPr="00577193">
        <w:rPr>
          <w:sz w:val="24"/>
          <w:szCs w:val="24"/>
          <w:lang w:val="en-US" w:eastAsia="ru-RU"/>
        </w:rPr>
        <w:t>.</w:t>
      </w:r>
    </w:p>
    <w:p w:rsidR="00706597" w:rsidRPr="00577193" w:rsidRDefault="00706597" w:rsidP="001070C5">
      <w:pPr>
        <w:spacing w:before="120" w:after="120"/>
        <w:ind w:firstLine="709"/>
        <w:jc w:val="both"/>
        <w:rPr>
          <w:b/>
          <w:i/>
          <w:sz w:val="24"/>
          <w:szCs w:val="24"/>
          <w:lang w:val="en-US" w:eastAsia="ru-RU"/>
        </w:rPr>
      </w:pPr>
    </w:p>
    <w:p w:rsidR="000D1E4E" w:rsidRPr="00577193" w:rsidRDefault="00577193" w:rsidP="001070C5">
      <w:pPr>
        <w:spacing w:before="120" w:after="120"/>
        <w:ind w:firstLine="709"/>
        <w:jc w:val="both"/>
        <w:rPr>
          <w:b/>
          <w:i/>
          <w:sz w:val="24"/>
          <w:szCs w:val="24"/>
          <w:lang w:val="en-US" w:eastAsia="ru-RU"/>
        </w:rPr>
      </w:pPr>
      <w:r w:rsidRPr="00946CE3">
        <w:rPr>
          <w:b/>
          <w:i/>
          <w:sz w:val="24"/>
          <w:szCs w:val="24"/>
          <w:lang w:val="en-US" w:eastAsia="ru-RU"/>
        </w:rPr>
        <w:t>Risks associated with changes in interest rates</w:t>
      </w:r>
    </w:p>
    <w:p w:rsidR="000D1E4E" w:rsidRPr="00577193" w:rsidRDefault="00577193" w:rsidP="000D1E4E">
      <w:pPr>
        <w:ind w:firstLine="709"/>
        <w:jc w:val="both"/>
        <w:rPr>
          <w:sz w:val="24"/>
          <w:szCs w:val="24"/>
          <w:lang w:val="en-US" w:eastAsia="ru-RU"/>
        </w:rPr>
      </w:pPr>
      <w:r w:rsidRPr="00946CE3">
        <w:rPr>
          <w:sz w:val="24"/>
          <w:szCs w:val="24"/>
          <w:lang w:val="en-US" w:eastAsia="ru-RU"/>
        </w:rPr>
        <w:t xml:space="preserve">Given the situation in the financial markets, the risk of changing the rates is estimated by the Company as </w:t>
      </w:r>
      <w:r>
        <w:rPr>
          <w:sz w:val="24"/>
          <w:szCs w:val="24"/>
          <w:lang w:val="en-US" w:eastAsia="ru-RU"/>
        </w:rPr>
        <w:t>medium</w:t>
      </w:r>
      <w:r w:rsidR="000D1E4E" w:rsidRPr="00577193">
        <w:rPr>
          <w:sz w:val="24"/>
          <w:szCs w:val="24"/>
          <w:lang w:val="en-US" w:eastAsia="ru-RU"/>
        </w:rPr>
        <w:t>.</w:t>
      </w:r>
    </w:p>
    <w:p w:rsidR="000D1E4E" w:rsidRPr="00577193" w:rsidRDefault="00577193" w:rsidP="000D1E4E">
      <w:pPr>
        <w:ind w:firstLine="709"/>
        <w:jc w:val="both"/>
        <w:rPr>
          <w:sz w:val="24"/>
          <w:szCs w:val="24"/>
          <w:lang w:val="en-US" w:eastAsia="ru-RU"/>
        </w:rPr>
      </w:pPr>
      <w:r w:rsidRPr="00946CE3">
        <w:rPr>
          <w:sz w:val="24"/>
          <w:szCs w:val="24"/>
          <w:lang w:val="en-US" w:eastAsia="ru-RU"/>
        </w:rPr>
        <w:t>For the purposes of leveling the risk of increased interest rates on loans the Company is interacting with credit organizations working with budgetary funds (state, federal subjects, municipal), and also carries out public borrowing through bond placement</w:t>
      </w:r>
      <w:r w:rsidR="000D1E4E" w:rsidRPr="00577193">
        <w:rPr>
          <w:sz w:val="24"/>
          <w:szCs w:val="24"/>
          <w:lang w:val="en-US" w:eastAsia="ru-RU"/>
        </w:rPr>
        <w:t>.</w:t>
      </w:r>
    </w:p>
    <w:p w:rsidR="000D1E4E" w:rsidRPr="00577193" w:rsidRDefault="00577193" w:rsidP="0023664B">
      <w:pPr>
        <w:ind w:firstLine="709"/>
        <w:jc w:val="both"/>
        <w:rPr>
          <w:sz w:val="24"/>
          <w:szCs w:val="24"/>
          <w:lang w:val="en-US" w:eastAsia="ru-RU"/>
        </w:rPr>
      </w:pPr>
      <w:r w:rsidRPr="004B0EB0">
        <w:rPr>
          <w:sz w:val="24"/>
          <w:szCs w:val="24"/>
          <w:lang w:val="en-US" w:eastAsia="ru-RU"/>
        </w:rPr>
        <w:lastRenderedPageBreak/>
        <w:t xml:space="preserve">The policy of the Company concerning external loans is regulated by the Regulation on credit policy of IDGC of Centre, confirmed by the decision of the Board of </w:t>
      </w:r>
      <w:r>
        <w:rPr>
          <w:sz w:val="24"/>
          <w:szCs w:val="24"/>
          <w:lang w:val="en-US" w:eastAsia="ru-RU"/>
        </w:rPr>
        <w:t>D</w:t>
      </w:r>
      <w:r w:rsidRPr="004B0EB0">
        <w:rPr>
          <w:sz w:val="24"/>
          <w:szCs w:val="24"/>
          <w:lang w:val="en-US" w:eastAsia="ru-RU"/>
        </w:rPr>
        <w:t>irectors of the Company (Minutes # 23/13 dated September 30</w:t>
      </w:r>
      <w:r>
        <w:rPr>
          <w:sz w:val="24"/>
          <w:szCs w:val="24"/>
          <w:lang w:val="en-US" w:eastAsia="ru-RU"/>
        </w:rPr>
        <w:t>,</w:t>
      </w:r>
      <w:r w:rsidRPr="004B0EB0">
        <w:rPr>
          <w:sz w:val="24"/>
          <w:szCs w:val="24"/>
          <w:lang w:val="en-US" w:eastAsia="ru-RU"/>
        </w:rPr>
        <w:t xml:space="preserve"> 2013).   This Regulation determines the order of estimation of financial stability and credit quality of the Company and is the instrument of calculation of value limit of a debt position of the Company and estimation of possibility of attraction of investment credits and loans within the limits of business planning</w:t>
      </w:r>
      <w:r w:rsidR="000D1E4E" w:rsidRPr="00577193">
        <w:rPr>
          <w:sz w:val="24"/>
          <w:szCs w:val="24"/>
          <w:lang w:val="en-US" w:eastAsia="ru-RU"/>
        </w:rPr>
        <w:t xml:space="preserve">. </w:t>
      </w:r>
    </w:p>
    <w:p w:rsidR="00952725" w:rsidRPr="00577193" w:rsidRDefault="00952725" w:rsidP="000D1E4E">
      <w:pPr>
        <w:ind w:firstLine="709"/>
        <w:jc w:val="both"/>
        <w:rPr>
          <w:sz w:val="24"/>
          <w:szCs w:val="24"/>
          <w:lang w:val="en-US" w:eastAsia="ru-RU"/>
        </w:rPr>
      </w:pPr>
    </w:p>
    <w:p w:rsidR="00706597" w:rsidRPr="00577193" w:rsidRDefault="00706597" w:rsidP="000D1E4E">
      <w:pPr>
        <w:ind w:firstLine="709"/>
        <w:jc w:val="both"/>
        <w:rPr>
          <w:sz w:val="24"/>
          <w:szCs w:val="24"/>
          <w:lang w:val="en-US" w:eastAsia="ru-RU"/>
        </w:rPr>
      </w:pPr>
    </w:p>
    <w:p w:rsidR="003352D5" w:rsidRPr="009B47EE" w:rsidRDefault="009B47EE" w:rsidP="008041DF">
      <w:pPr>
        <w:pStyle w:val="Default"/>
        <w:ind w:firstLine="720"/>
        <w:rPr>
          <w:rFonts w:eastAsia="Times New Roman"/>
          <w:b/>
          <w:i/>
          <w:color w:val="auto"/>
          <w:lang w:val="en-US" w:eastAsia="ru-RU"/>
        </w:rPr>
      </w:pPr>
      <w:r>
        <w:rPr>
          <w:b/>
          <w:bCs/>
          <w:i/>
          <w:iCs/>
          <w:lang w:val="en-US"/>
        </w:rPr>
        <w:t>R</w:t>
      </w:r>
      <w:r w:rsidRPr="00F11C5F">
        <w:rPr>
          <w:b/>
          <w:bCs/>
          <w:i/>
          <w:iCs/>
          <w:lang w:val="en-US"/>
        </w:rPr>
        <w:t>isks connected with state regulation of tariffs for services rendered</w:t>
      </w:r>
    </w:p>
    <w:p w:rsidR="008041DF" w:rsidRPr="009B47EE" w:rsidRDefault="008041DF" w:rsidP="008041DF">
      <w:pPr>
        <w:pStyle w:val="Default"/>
        <w:ind w:firstLine="720"/>
        <w:rPr>
          <w:rFonts w:eastAsia="Times New Roman"/>
          <w:b/>
          <w:i/>
          <w:color w:val="auto"/>
          <w:lang w:val="en-US" w:eastAsia="ru-RU"/>
        </w:rPr>
      </w:pPr>
    </w:p>
    <w:p w:rsidR="003352D5" w:rsidRPr="00591501" w:rsidRDefault="00591501" w:rsidP="003352D5">
      <w:pPr>
        <w:pStyle w:val="Default"/>
        <w:ind w:firstLine="708"/>
        <w:jc w:val="both"/>
        <w:rPr>
          <w:rFonts w:eastAsia="Times New Roman"/>
          <w:color w:val="auto"/>
          <w:lang w:val="en-US" w:eastAsia="ru-RU"/>
        </w:rPr>
      </w:pPr>
      <w:r w:rsidRPr="00F11C5F">
        <w:rPr>
          <w:lang w:val="en-US"/>
        </w:rPr>
        <w:t>Transmission of electric energy through distribution grids and also grid connection to electric networks are regulated by the State. Thus, adoption by the regulatory bodies of tariff rates for services of the Company directly influences the amount of received proceeds</w:t>
      </w:r>
      <w:r w:rsidR="003352D5" w:rsidRPr="00591501">
        <w:rPr>
          <w:rFonts w:eastAsia="Times New Roman"/>
          <w:color w:val="auto"/>
          <w:lang w:val="en-US" w:eastAsia="ru-RU"/>
        </w:rPr>
        <w:t xml:space="preserve">. </w:t>
      </w:r>
    </w:p>
    <w:p w:rsidR="003352D5" w:rsidRPr="00591501" w:rsidRDefault="00591501" w:rsidP="003352D5">
      <w:pPr>
        <w:pStyle w:val="Default"/>
        <w:ind w:firstLine="708"/>
        <w:jc w:val="both"/>
        <w:rPr>
          <w:rFonts w:eastAsia="Times New Roman"/>
          <w:color w:val="auto"/>
          <w:lang w:val="en-US" w:eastAsia="ru-RU"/>
        </w:rPr>
      </w:pPr>
      <w:r w:rsidRPr="0035634C">
        <w:rPr>
          <w:lang w:val="en-US"/>
        </w:rPr>
        <w:t>The Government of the Russian Federation realizes the policy of containment of increase of tariffs on product and services of natural monopolies – gradual reduction of rates of payment for grid connection was provided in the plan of measures approved by Resolution of the Government of 30.06.2013 № 1144-r. Increase of tariffs for electricity transmission is limited with a rate, established by the forecast of socio-economic development of the Russian Federation for the relevant year (hereinafter - the Forecast) or specific scenario conditions of the economy of the Russian Federation functioning, approved by the Government</w:t>
      </w:r>
      <w:r w:rsidR="003352D5" w:rsidRPr="00591501">
        <w:rPr>
          <w:rFonts w:eastAsia="Times New Roman"/>
          <w:color w:val="auto"/>
          <w:lang w:val="en-US" w:eastAsia="ru-RU"/>
        </w:rPr>
        <w:t xml:space="preserve">. </w:t>
      </w:r>
    </w:p>
    <w:p w:rsidR="003352D5" w:rsidRPr="00591501" w:rsidRDefault="003352D5" w:rsidP="003352D5">
      <w:pPr>
        <w:pStyle w:val="Default"/>
        <w:jc w:val="both"/>
        <w:rPr>
          <w:rFonts w:eastAsia="Times New Roman"/>
          <w:color w:val="auto"/>
          <w:lang w:val="en-US" w:eastAsia="ru-RU"/>
        </w:rPr>
      </w:pPr>
      <w:r w:rsidRPr="00591501">
        <w:rPr>
          <w:rFonts w:eastAsia="Times New Roman"/>
          <w:color w:val="auto"/>
          <w:lang w:val="en-US" w:eastAsia="ru-RU"/>
        </w:rPr>
        <w:tab/>
      </w:r>
      <w:r w:rsidR="00591501" w:rsidRPr="00EE2080">
        <w:rPr>
          <w:lang w:val="en-US"/>
        </w:rPr>
        <w:t>Limiting the growth of tariffs for 2015</w:t>
      </w:r>
      <w:r w:rsidR="00591501">
        <w:rPr>
          <w:lang w:val="en-US"/>
        </w:rPr>
        <w:t xml:space="preserve"> a</w:t>
      </w:r>
      <w:r w:rsidR="00591501" w:rsidRPr="00EE2080">
        <w:rPr>
          <w:lang w:val="en-US"/>
        </w:rPr>
        <w:t xml:space="preserve">ccording to the </w:t>
      </w:r>
      <w:r w:rsidR="00591501">
        <w:rPr>
          <w:lang w:val="en-US"/>
        </w:rPr>
        <w:t>F</w:t>
      </w:r>
      <w:r w:rsidR="00591501" w:rsidRPr="00EE2080">
        <w:rPr>
          <w:lang w:val="en-US"/>
        </w:rPr>
        <w:t xml:space="preserve">orecast </w:t>
      </w:r>
      <w:r w:rsidR="00591501">
        <w:rPr>
          <w:lang w:val="en-US"/>
        </w:rPr>
        <w:t>is</w:t>
      </w:r>
      <w:r w:rsidR="00591501" w:rsidRPr="00EE2080">
        <w:rPr>
          <w:lang w:val="en-US"/>
        </w:rPr>
        <w:t xml:space="preserve"> 7.5% from July 2015, or 3.8% on an annualized basis. In order to minimize </w:t>
      </w:r>
      <w:r w:rsidR="00591501" w:rsidRPr="00F56F4D">
        <w:rPr>
          <w:lang w:val="en-US"/>
        </w:rPr>
        <w:t>"shortfall in income"</w:t>
      </w:r>
      <w:r w:rsidR="00591501">
        <w:rPr>
          <w:lang w:val="en-US"/>
        </w:rPr>
        <w:t xml:space="preserve"> </w:t>
      </w:r>
      <w:r w:rsidR="00591501" w:rsidRPr="00EE2080">
        <w:rPr>
          <w:lang w:val="en-US"/>
        </w:rPr>
        <w:t xml:space="preserve">from the </w:t>
      </w:r>
      <w:r w:rsidR="00591501">
        <w:rPr>
          <w:lang w:val="en-US"/>
        </w:rPr>
        <w:t xml:space="preserve">implementation </w:t>
      </w:r>
      <w:r w:rsidR="00591501" w:rsidRPr="00EE2080">
        <w:rPr>
          <w:lang w:val="en-US"/>
        </w:rPr>
        <w:t xml:space="preserve">of Federal Law №308 on the basis of regulation </w:t>
      </w:r>
      <w:r w:rsidR="00591501">
        <w:rPr>
          <w:lang w:val="en-US"/>
        </w:rPr>
        <w:t>in</w:t>
      </w:r>
      <w:r w:rsidR="00591501" w:rsidRPr="00EE2080">
        <w:rPr>
          <w:lang w:val="en-US"/>
        </w:rPr>
        <w:t xml:space="preserve"> 2015 </w:t>
      </w:r>
      <w:r w:rsidR="00591501">
        <w:rPr>
          <w:lang w:val="en-US"/>
        </w:rPr>
        <w:t xml:space="preserve">the </w:t>
      </w:r>
      <w:r w:rsidR="00591501" w:rsidRPr="00EE2080">
        <w:rPr>
          <w:lang w:val="en-US"/>
        </w:rPr>
        <w:t xml:space="preserve">tariffs for electricity transmission services for Belgorod and Kursk regions </w:t>
      </w:r>
      <w:r w:rsidR="00591501">
        <w:rPr>
          <w:lang w:val="en-US"/>
        </w:rPr>
        <w:t xml:space="preserve">were </w:t>
      </w:r>
      <w:r w:rsidR="00591501" w:rsidRPr="00EE2080">
        <w:rPr>
          <w:lang w:val="en-US"/>
        </w:rPr>
        <w:t xml:space="preserve">approved </w:t>
      </w:r>
      <w:r w:rsidR="00591501">
        <w:rPr>
          <w:lang w:val="en-US"/>
        </w:rPr>
        <w:t>in</w:t>
      </w:r>
      <w:r w:rsidR="00591501" w:rsidRPr="00EE2080">
        <w:rPr>
          <w:lang w:val="en-US"/>
        </w:rPr>
        <w:t xml:space="preserve"> excess of </w:t>
      </w:r>
      <w:r w:rsidR="00591501">
        <w:rPr>
          <w:lang w:val="en-US"/>
        </w:rPr>
        <w:t>the F</w:t>
      </w:r>
      <w:r w:rsidR="00591501" w:rsidRPr="00EE2080">
        <w:rPr>
          <w:lang w:val="en-US"/>
        </w:rPr>
        <w:t xml:space="preserve">orecast </w:t>
      </w:r>
      <w:r w:rsidR="00591501">
        <w:rPr>
          <w:lang w:val="en-US"/>
        </w:rPr>
        <w:t>of</w:t>
      </w:r>
      <w:r w:rsidR="00591501" w:rsidRPr="00EE2080">
        <w:rPr>
          <w:lang w:val="en-US"/>
        </w:rPr>
        <w:t xml:space="preserve"> 2%</w:t>
      </w:r>
      <w:r w:rsidRPr="00591501">
        <w:rPr>
          <w:rFonts w:eastAsia="Times New Roman"/>
          <w:color w:val="auto"/>
          <w:lang w:val="en-US" w:eastAsia="ru-RU"/>
        </w:rPr>
        <w:t>.</w:t>
      </w:r>
    </w:p>
    <w:p w:rsidR="003352D5" w:rsidRPr="00591501" w:rsidRDefault="003352D5" w:rsidP="003352D5">
      <w:pPr>
        <w:pStyle w:val="Default"/>
        <w:jc w:val="both"/>
        <w:rPr>
          <w:rFonts w:eastAsia="Times New Roman"/>
          <w:color w:val="auto"/>
          <w:lang w:val="en-US" w:eastAsia="ru-RU"/>
        </w:rPr>
      </w:pPr>
      <w:r w:rsidRPr="00591501">
        <w:rPr>
          <w:rFonts w:eastAsia="Times New Roman"/>
          <w:color w:val="auto"/>
          <w:lang w:val="en-US" w:eastAsia="ru-RU"/>
        </w:rPr>
        <w:tab/>
      </w:r>
      <w:r w:rsidR="00591501" w:rsidRPr="00390819">
        <w:rPr>
          <w:lang w:val="en-US"/>
        </w:rPr>
        <w:t xml:space="preserve">Implementation of Federal Law № 308-FZ </w:t>
      </w:r>
      <w:r w:rsidR="00591501">
        <w:rPr>
          <w:lang w:val="en-US"/>
        </w:rPr>
        <w:t xml:space="preserve">in the subsequent years </w:t>
      </w:r>
      <w:r w:rsidR="00591501" w:rsidRPr="00390819">
        <w:rPr>
          <w:lang w:val="en-US"/>
        </w:rPr>
        <w:t>(</w:t>
      </w:r>
      <w:r w:rsidR="00591501">
        <w:rPr>
          <w:lang w:val="en-US"/>
        </w:rPr>
        <w:t>until</w:t>
      </w:r>
      <w:r w:rsidR="00591501" w:rsidRPr="00390819">
        <w:rPr>
          <w:lang w:val="en-US"/>
        </w:rPr>
        <w:t xml:space="preserve"> 01.07.2017)</w:t>
      </w:r>
      <w:r w:rsidR="00591501">
        <w:rPr>
          <w:lang w:val="en-US"/>
        </w:rPr>
        <w:t xml:space="preserve"> </w:t>
      </w:r>
      <w:r w:rsidR="00591501" w:rsidRPr="00390819">
        <w:rPr>
          <w:lang w:val="en-US"/>
        </w:rPr>
        <w:t xml:space="preserve">may result in deterioration of the financial position and reduction </w:t>
      </w:r>
      <w:r w:rsidR="00591501">
        <w:rPr>
          <w:lang w:val="en-US"/>
        </w:rPr>
        <w:t xml:space="preserve">of the </w:t>
      </w:r>
      <w:r w:rsidR="00591501" w:rsidRPr="00390819">
        <w:rPr>
          <w:lang w:val="en-US"/>
        </w:rPr>
        <w:t>investment program of the Company</w:t>
      </w:r>
      <w:r w:rsidRPr="00591501">
        <w:rPr>
          <w:rFonts w:eastAsia="Times New Roman"/>
          <w:color w:val="auto"/>
          <w:lang w:val="en-US" w:eastAsia="ru-RU"/>
        </w:rPr>
        <w:t>.</w:t>
      </w:r>
    </w:p>
    <w:p w:rsidR="003352D5" w:rsidRPr="00591501" w:rsidRDefault="003352D5" w:rsidP="003352D5">
      <w:pPr>
        <w:pStyle w:val="Default"/>
        <w:jc w:val="both"/>
        <w:rPr>
          <w:rFonts w:eastAsia="Times New Roman"/>
          <w:color w:val="auto"/>
          <w:lang w:val="en-US" w:eastAsia="ru-RU"/>
        </w:rPr>
      </w:pPr>
    </w:p>
    <w:p w:rsidR="003352D5" w:rsidRPr="006139F1" w:rsidRDefault="00591501" w:rsidP="003352D5">
      <w:pPr>
        <w:pStyle w:val="Default"/>
        <w:ind w:firstLine="708"/>
        <w:jc w:val="both"/>
        <w:rPr>
          <w:rFonts w:eastAsia="Times New Roman"/>
          <w:color w:val="auto"/>
          <w:lang w:val="en-US" w:eastAsia="ru-RU"/>
        </w:rPr>
      </w:pPr>
      <w:r w:rsidRPr="00BE6347">
        <w:rPr>
          <w:lang w:val="en-US"/>
        </w:rPr>
        <w:t xml:space="preserve">The following measures are applied to </w:t>
      </w:r>
      <w:proofErr w:type="spellStart"/>
      <w:r w:rsidRPr="00BE6347">
        <w:rPr>
          <w:lang w:val="en-US"/>
        </w:rPr>
        <w:t>miminize</w:t>
      </w:r>
      <w:proofErr w:type="spellEnd"/>
      <w:r w:rsidRPr="00BE6347">
        <w:rPr>
          <w:lang w:val="en-US"/>
        </w:rPr>
        <w:t xml:space="preserve"> the risks</w:t>
      </w:r>
      <w:r w:rsidR="003352D5" w:rsidRPr="006139F1">
        <w:rPr>
          <w:rFonts w:eastAsia="Times New Roman"/>
          <w:color w:val="auto"/>
          <w:lang w:val="en-US" w:eastAsia="ru-RU"/>
        </w:rPr>
        <w:t xml:space="preserve">: </w:t>
      </w:r>
    </w:p>
    <w:p w:rsidR="003352D5" w:rsidRPr="006139F1" w:rsidRDefault="003352D5" w:rsidP="003352D5">
      <w:pPr>
        <w:pStyle w:val="Default"/>
        <w:ind w:firstLine="708"/>
        <w:jc w:val="both"/>
        <w:rPr>
          <w:rFonts w:eastAsia="Times New Roman"/>
          <w:color w:val="auto"/>
          <w:lang w:val="en-US" w:eastAsia="ru-RU"/>
        </w:rPr>
      </w:pPr>
      <w:r w:rsidRPr="006139F1">
        <w:rPr>
          <w:rFonts w:eastAsia="Times New Roman"/>
          <w:color w:val="auto"/>
          <w:lang w:val="en-US" w:eastAsia="ru-RU"/>
        </w:rPr>
        <w:t xml:space="preserve">1. </w:t>
      </w:r>
      <w:r w:rsidR="006139F1" w:rsidRPr="00BE6347">
        <w:rPr>
          <w:lang w:val="en-US"/>
        </w:rPr>
        <w:t>Work with tariffs regulatory authorities of RF subjects to ensure compensation "shortfall in income" of grid companies, arising from the implementation of Federal Law № 308-FZ, by providing additionally to the Forecast of the Ministry of Economic Development the increase of tariffs for other customers</w:t>
      </w:r>
      <w:r w:rsidRPr="006139F1">
        <w:rPr>
          <w:rFonts w:eastAsia="Times New Roman"/>
          <w:color w:val="auto"/>
          <w:lang w:val="en-US" w:eastAsia="ru-RU"/>
        </w:rPr>
        <w:t xml:space="preserve">. </w:t>
      </w:r>
    </w:p>
    <w:p w:rsidR="003352D5" w:rsidRPr="006139F1" w:rsidRDefault="003352D5" w:rsidP="003352D5">
      <w:pPr>
        <w:pStyle w:val="Default"/>
        <w:ind w:firstLine="708"/>
        <w:jc w:val="both"/>
        <w:rPr>
          <w:rFonts w:eastAsia="Times New Roman"/>
          <w:color w:val="auto"/>
          <w:lang w:val="en-US" w:eastAsia="ru-RU"/>
        </w:rPr>
      </w:pPr>
      <w:r w:rsidRPr="006139F1">
        <w:rPr>
          <w:rFonts w:eastAsia="Times New Roman"/>
          <w:color w:val="auto"/>
          <w:lang w:val="en-US" w:eastAsia="ru-RU"/>
        </w:rPr>
        <w:t xml:space="preserve">2. </w:t>
      </w:r>
      <w:proofErr w:type="gramStart"/>
      <w:r w:rsidR="006139F1" w:rsidRPr="00BE6347">
        <w:rPr>
          <w:lang w:val="en-US"/>
        </w:rPr>
        <w:t>On</w:t>
      </w:r>
      <w:proofErr w:type="gramEnd"/>
      <w:r w:rsidR="006139F1" w:rsidRPr="00BE6347">
        <w:rPr>
          <w:lang w:val="en-US"/>
        </w:rPr>
        <w:t xml:space="preserve"> an ongoing basis, the work on the economic justification of costs included in rates, including for inclusion of "shortfall in income" of previous periods into rates</w:t>
      </w:r>
      <w:r w:rsidRPr="006139F1">
        <w:rPr>
          <w:rFonts w:eastAsia="Times New Roman"/>
          <w:color w:val="auto"/>
          <w:lang w:val="en-US" w:eastAsia="ru-RU"/>
        </w:rPr>
        <w:t xml:space="preserve">. </w:t>
      </w:r>
    </w:p>
    <w:p w:rsidR="003352D5" w:rsidRPr="006139F1" w:rsidRDefault="003352D5" w:rsidP="003352D5">
      <w:pPr>
        <w:pStyle w:val="Default"/>
        <w:ind w:firstLine="708"/>
        <w:jc w:val="both"/>
        <w:rPr>
          <w:rFonts w:eastAsia="Times New Roman"/>
          <w:color w:val="auto"/>
          <w:lang w:val="en-US" w:eastAsia="ru-RU"/>
        </w:rPr>
      </w:pPr>
      <w:r w:rsidRPr="006139F1">
        <w:rPr>
          <w:rFonts w:eastAsia="Times New Roman"/>
          <w:color w:val="auto"/>
          <w:lang w:val="en-US" w:eastAsia="ru-RU"/>
        </w:rPr>
        <w:t xml:space="preserve">3. </w:t>
      </w:r>
      <w:r w:rsidR="006139F1" w:rsidRPr="00BE6347">
        <w:rPr>
          <w:lang w:val="en-US"/>
        </w:rPr>
        <w:t>Regular work on reduction of costs and investment program optimization is conducted</w:t>
      </w:r>
      <w:r w:rsidRPr="006139F1">
        <w:rPr>
          <w:rFonts w:eastAsia="Times New Roman"/>
          <w:color w:val="auto"/>
          <w:lang w:val="en-US" w:eastAsia="ru-RU"/>
        </w:rPr>
        <w:t xml:space="preserve">. </w:t>
      </w:r>
    </w:p>
    <w:p w:rsidR="003352D5" w:rsidRPr="006139F1" w:rsidRDefault="003352D5" w:rsidP="003352D5">
      <w:pPr>
        <w:pStyle w:val="Default"/>
        <w:ind w:firstLine="708"/>
        <w:jc w:val="both"/>
        <w:rPr>
          <w:rFonts w:eastAsia="Times New Roman"/>
          <w:color w:val="auto"/>
          <w:lang w:val="en-US" w:eastAsia="ru-RU"/>
        </w:rPr>
      </w:pPr>
      <w:r w:rsidRPr="006139F1">
        <w:rPr>
          <w:rFonts w:eastAsia="Times New Roman"/>
          <w:color w:val="auto"/>
          <w:lang w:val="en-US" w:eastAsia="ru-RU"/>
        </w:rPr>
        <w:t xml:space="preserve">4. </w:t>
      </w:r>
      <w:r w:rsidR="006139F1" w:rsidRPr="00BE6347">
        <w:rPr>
          <w:lang w:val="en-US"/>
        </w:rPr>
        <w:t>Implementation together with the Federal Service on Tariffs and tariff regulation bodies of subjects of the Russian Federation of activities to amend the existing legislation of the Russian Federation in pricing for natural monopolies to take the interests of distribution grid companies in setting tariffs for electricity at the retail market</w:t>
      </w:r>
      <w:r w:rsidR="006139F1" w:rsidRPr="0071432E">
        <w:rPr>
          <w:lang w:val="en-US"/>
        </w:rPr>
        <w:t xml:space="preserve"> </w:t>
      </w:r>
      <w:r w:rsidR="006139F1">
        <w:rPr>
          <w:lang w:val="en-US"/>
        </w:rPr>
        <w:t xml:space="preserve">into </w:t>
      </w:r>
      <w:r w:rsidR="006139F1" w:rsidRPr="00BE6347">
        <w:rPr>
          <w:lang w:val="en-US"/>
        </w:rPr>
        <w:t>account</w:t>
      </w:r>
      <w:r w:rsidRPr="006139F1">
        <w:rPr>
          <w:rFonts w:eastAsia="Times New Roman"/>
          <w:color w:val="auto"/>
          <w:lang w:val="en-US" w:eastAsia="ru-RU"/>
        </w:rPr>
        <w:t>.</w:t>
      </w:r>
    </w:p>
    <w:p w:rsidR="003352D5" w:rsidRPr="006139F1" w:rsidRDefault="003352D5" w:rsidP="003352D5">
      <w:pPr>
        <w:pStyle w:val="Default"/>
        <w:jc w:val="both"/>
        <w:rPr>
          <w:rFonts w:eastAsia="Times New Roman"/>
          <w:color w:val="auto"/>
          <w:lang w:val="en-US" w:eastAsia="ru-RU"/>
        </w:rPr>
      </w:pPr>
    </w:p>
    <w:p w:rsidR="00706597" w:rsidRPr="006139F1" w:rsidRDefault="00706597" w:rsidP="003352D5">
      <w:pPr>
        <w:pStyle w:val="Default"/>
        <w:jc w:val="both"/>
        <w:rPr>
          <w:rFonts w:eastAsia="Times New Roman"/>
          <w:color w:val="auto"/>
          <w:lang w:val="en-US" w:eastAsia="ru-RU"/>
        </w:rPr>
      </w:pPr>
    </w:p>
    <w:p w:rsidR="003352D5" w:rsidRPr="006139F1" w:rsidRDefault="008041DF" w:rsidP="008041DF">
      <w:pPr>
        <w:pStyle w:val="Default"/>
        <w:ind w:firstLine="720"/>
        <w:jc w:val="both"/>
        <w:rPr>
          <w:rFonts w:eastAsia="Times New Roman"/>
          <w:b/>
          <w:i/>
          <w:color w:val="auto"/>
          <w:lang w:val="en-US" w:eastAsia="ru-RU"/>
        </w:rPr>
      </w:pPr>
      <w:r w:rsidRPr="006139F1">
        <w:rPr>
          <w:rFonts w:eastAsia="Times New Roman"/>
          <w:b/>
          <w:i/>
          <w:color w:val="auto"/>
          <w:lang w:val="en-US" w:eastAsia="ru-RU"/>
        </w:rPr>
        <w:t xml:space="preserve"> </w:t>
      </w:r>
      <w:r w:rsidR="006139F1" w:rsidRPr="003E1F04">
        <w:rPr>
          <w:b/>
          <w:bCs/>
          <w:i/>
          <w:iCs/>
          <w:lang w:val="en-US"/>
        </w:rPr>
        <w:t xml:space="preserve">Risks of receiving less income, connected with payment </w:t>
      </w:r>
      <w:r w:rsidR="006139F1">
        <w:rPr>
          <w:b/>
          <w:bCs/>
          <w:i/>
          <w:iCs/>
          <w:lang w:val="en-US"/>
        </w:rPr>
        <w:t xml:space="preserve">discipline of </w:t>
      </w:r>
      <w:r w:rsidR="006139F1" w:rsidRPr="003E1F04">
        <w:rPr>
          <w:b/>
          <w:bCs/>
          <w:i/>
          <w:iCs/>
          <w:lang w:val="en-US"/>
        </w:rPr>
        <w:t xml:space="preserve">retailers or decrease in </w:t>
      </w:r>
      <w:r w:rsidR="006139F1">
        <w:rPr>
          <w:b/>
          <w:bCs/>
          <w:i/>
          <w:iCs/>
          <w:lang w:val="en-US"/>
        </w:rPr>
        <w:t>the</w:t>
      </w:r>
      <w:r w:rsidR="006139F1" w:rsidRPr="003E1F04">
        <w:rPr>
          <w:b/>
          <w:bCs/>
          <w:i/>
          <w:iCs/>
          <w:lang w:val="en-US"/>
        </w:rPr>
        <w:t xml:space="preserve"> level of power consumption</w:t>
      </w:r>
      <w:r w:rsidR="006139F1" w:rsidRPr="006139F1">
        <w:rPr>
          <w:rFonts w:eastAsia="Times New Roman"/>
          <w:b/>
          <w:i/>
          <w:color w:val="auto"/>
          <w:lang w:val="en-US" w:eastAsia="ru-RU"/>
        </w:rPr>
        <w:t xml:space="preserve"> </w:t>
      </w:r>
    </w:p>
    <w:p w:rsidR="008041DF" w:rsidRPr="006139F1" w:rsidRDefault="008041DF" w:rsidP="008041DF">
      <w:pPr>
        <w:pStyle w:val="Default"/>
        <w:ind w:firstLine="720"/>
        <w:jc w:val="both"/>
        <w:rPr>
          <w:rFonts w:eastAsia="Times New Roman"/>
          <w:b/>
          <w:i/>
          <w:color w:val="auto"/>
          <w:lang w:val="en-US" w:eastAsia="ru-RU"/>
        </w:rPr>
      </w:pPr>
    </w:p>
    <w:p w:rsidR="003352D5" w:rsidRPr="00680974" w:rsidRDefault="00680974" w:rsidP="003352D5">
      <w:pPr>
        <w:pStyle w:val="Default"/>
        <w:ind w:firstLine="708"/>
        <w:jc w:val="both"/>
        <w:rPr>
          <w:rFonts w:eastAsia="Times New Roman"/>
          <w:color w:val="auto"/>
          <w:lang w:val="en-US" w:eastAsia="ru-RU"/>
        </w:rPr>
      </w:pPr>
      <w:r w:rsidRPr="003E1F04">
        <w:rPr>
          <w:lang w:val="en-US"/>
        </w:rPr>
        <w:t xml:space="preserve">The main buyers of IDGC of Centre’s services are retail companies, which carry out delivery of electric energy to end users. The main risk connected with buyers is the probability of increase in the debt receivable in connection with infringement of payment discipline by end users of electric energy and occurrence of necessity of attraction of additional credit resources. There is risk of insufficiency of money resources on the issuer's accounts in connection with presence of time cash breaks between reception of money resources from the marketing company and necessity of financing of current operations. The probability of this risk occurrence is </w:t>
      </w:r>
      <w:r>
        <w:rPr>
          <w:lang w:val="en-US"/>
        </w:rPr>
        <w:t>medium</w:t>
      </w:r>
      <w:r w:rsidRPr="003E1F04">
        <w:rPr>
          <w:lang w:val="en-US"/>
        </w:rPr>
        <w:t xml:space="preserve">. For minimization of the probability of the given risk and its consequences, the </w:t>
      </w:r>
      <w:r w:rsidRPr="003E1F04">
        <w:rPr>
          <w:lang w:val="en-US"/>
        </w:rPr>
        <w:lastRenderedPageBreak/>
        <w:t>management conducts work on the well-thought credit policy, on management of debt receivable directed to optimization of its amount and collection of debt. The Company also performs active claim-related work on debt collection, implements policy of conclusion of direct contracts with electric power consumers</w:t>
      </w:r>
      <w:r w:rsidR="003352D5" w:rsidRPr="00680974">
        <w:rPr>
          <w:rFonts w:eastAsia="Times New Roman"/>
          <w:color w:val="auto"/>
          <w:lang w:val="en-US" w:eastAsia="ru-RU"/>
        </w:rPr>
        <w:t xml:space="preserve">. </w:t>
      </w:r>
    </w:p>
    <w:p w:rsidR="003352D5" w:rsidRPr="00680974" w:rsidRDefault="00680974" w:rsidP="003352D5">
      <w:pPr>
        <w:pStyle w:val="Default"/>
        <w:ind w:firstLine="708"/>
        <w:jc w:val="both"/>
        <w:rPr>
          <w:rFonts w:eastAsia="Times New Roman"/>
          <w:color w:val="auto"/>
          <w:lang w:val="en-US" w:eastAsia="ru-RU"/>
        </w:rPr>
      </w:pPr>
      <w:r w:rsidRPr="003E1F04">
        <w:rPr>
          <w:lang w:val="en-US"/>
        </w:rPr>
        <w:t>As the proceeds of IDGC of Centre are influenced by dynamics of power consumption of regions of the Company’s service area, there is a risk of receiving less income than one is due in connection with decrease in electric power consumption by separate large consumers in relation to the target level. At present this risk probability is estimated as low, with consequences for the Company’s activity from medium to critical</w:t>
      </w:r>
      <w:r w:rsidR="003352D5" w:rsidRPr="00680974">
        <w:rPr>
          <w:rFonts w:eastAsia="Times New Roman"/>
          <w:color w:val="auto"/>
          <w:lang w:val="en-US" w:eastAsia="ru-RU"/>
        </w:rPr>
        <w:t>.</w:t>
      </w:r>
    </w:p>
    <w:p w:rsidR="003352D5" w:rsidRPr="00680974" w:rsidRDefault="003352D5" w:rsidP="003352D5">
      <w:pPr>
        <w:pStyle w:val="Default"/>
        <w:jc w:val="both"/>
        <w:rPr>
          <w:rFonts w:eastAsia="Times New Roman"/>
          <w:color w:val="auto"/>
          <w:lang w:val="en-US" w:eastAsia="ru-RU"/>
        </w:rPr>
      </w:pPr>
    </w:p>
    <w:p w:rsidR="00706597" w:rsidRPr="00680974" w:rsidRDefault="00706597" w:rsidP="003352D5">
      <w:pPr>
        <w:pStyle w:val="Default"/>
        <w:jc w:val="both"/>
        <w:rPr>
          <w:rFonts w:eastAsia="Times New Roman"/>
          <w:color w:val="auto"/>
          <w:lang w:val="en-US" w:eastAsia="ru-RU"/>
        </w:rPr>
      </w:pPr>
    </w:p>
    <w:p w:rsidR="003352D5" w:rsidRPr="00A33E96" w:rsidRDefault="00A33E96" w:rsidP="008041DF">
      <w:pPr>
        <w:pStyle w:val="Default"/>
        <w:ind w:firstLine="720"/>
        <w:rPr>
          <w:rFonts w:eastAsia="Times New Roman"/>
          <w:color w:val="auto"/>
          <w:lang w:val="en-US" w:eastAsia="ru-RU"/>
        </w:rPr>
      </w:pPr>
      <w:r w:rsidRPr="00024F18">
        <w:rPr>
          <w:b/>
          <w:bCs/>
          <w:i/>
          <w:iCs/>
          <w:lang w:val="en-US"/>
        </w:rPr>
        <w:t>Risks connected with shortage of qualified specialists in the industry</w:t>
      </w:r>
      <w:r w:rsidR="003352D5" w:rsidRPr="00A33E96">
        <w:rPr>
          <w:rFonts w:eastAsia="Times New Roman"/>
          <w:color w:val="auto"/>
          <w:lang w:val="en-US" w:eastAsia="ru-RU"/>
        </w:rPr>
        <w:t xml:space="preserve"> </w:t>
      </w:r>
    </w:p>
    <w:p w:rsidR="0023664B" w:rsidRPr="00A33E96" w:rsidRDefault="0023664B" w:rsidP="003352D5">
      <w:pPr>
        <w:pStyle w:val="Default"/>
        <w:rPr>
          <w:rFonts w:eastAsia="Times New Roman"/>
          <w:color w:val="auto"/>
          <w:lang w:val="en-US" w:eastAsia="ru-RU"/>
        </w:rPr>
      </w:pPr>
    </w:p>
    <w:p w:rsidR="003352D5" w:rsidRPr="002C716B" w:rsidRDefault="002C716B" w:rsidP="003352D5">
      <w:pPr>
        <w:pStyle w:val="Default"/>
        <w:ind w:firstLine="708"/>
        <w:jc w:val="both"/>
        <w:rPr>
          <w:rFonts w:eastAsia="Times New Roman"/>
          <w:color w:val="auto"/>
          <w:lang w:val="en-US" w:eastAsia="ru-RU"/>
        </w:rPr>
      </w:pPr>
      <w:r w:rsidRPr="00024F18">
        <w:rPr>
          <w:lang w:val="en-US"/>
        </w:rPr>
        <w:t>At present inflow of qualified production personnel in the industry is reducing. Keeping the current reduction rates the Company may confront with shortage of qualified production personnel in the regions of the service area. This risk is estimated as average within the long-term period with consequences for the Company’s activity varying from insignificant up to medium. For the purposes of minimization of this risk probability the Company performs the following measures</w:t>
      </w:r>
      <w:r w:rsidR="003352D5" w:rsidRPr="002C716B">
        <w:rPr>
          <w:rFonts w:eastAsia="Times New Roman"/>
          <w:color w:val="auto"/>
          <w:lang w:val="en-US" w:eastAsia="ru-RU"/>
        </w:rPr>
        <w:t xml:space="preserve">: </w:t>
      </w:r>
    </w:p>
    <w:p w:rsidR="003352D5" w:rsidRPr="002C716B" w:rsidRDefault="003352D5" w:rsidP="003352D5">
      <w:pPr>
        <w:pStyle w:val="Default"/>
        <w:ind w:firstLine="708"/>
        <w:jc w:val="both"/>
        <w:rPr>
          <w:rFonts w:eastAsia="Times New Roman"/>
          <w:color w:val="auto"/>
          <w:lang w:val="en-US" w:eastAsia="ru-RU"/>
        </w:rPr>
      </w:pPr>
      <w:r w:rsidRPr="002C716B">
        <w:rPr>
          <w:rFonts w:eastAsia="Times New Roman"/>
          <w:color w:val="auto"/>
          <w:lang w:val="en-US" w:eastAsia="ru-RU"/>
        </w:rPr>
        <w:t xml:space="preserve">- </w:t>
      </w:r>
      <w:r w:rsidR="002C716B" w:rsidRPr="00024F18">
        <w:rPr>
          <w:lang w:val="en-US"/>
        </w:rPr>
        <w:t>support of industrial secondary special and higher industrial institutions in the regions of the service area, creation of financial support of implementation of the program on training of specialists in the field of electric power with subsequent guaranteed employment of trained specialists</w:t>
      </w:r>
      <w:r w:rsidRPr="002C716B">
        <w:rPr>
          <w:rFonts w:eastAsia="Times New Roman"/>
          <w:color w:val="auto"/>
          <w:lang w:val="en-US" w:eastAsia="ru-RU"/>
        </w:rPr>
        <w:t xml:space="preserve">; </w:t>
      </w:r>
    </w:p>
    <w:p w:rsidR="003352D5" w:rsidRPr="002C716B" w:rsidRDefault="003352D5" w:rsidP="003352D5">
      <w:pPr>
        <w:pStyle w:val="Default"/>
        <w:ind w:firstLine="708"/>
        <w:jc w:val="both"/>
        <w:rPr>
          <w:rFonts w:eastAsia="Times New Roman"/>
          <w:color w:val="auto"/>
          <w:lang w:val="en-US" w:eastAsia="ru-RU"/>
        </w:rPr>
      </w:pPr>
      <w:r w:rsidRPr="002C716B">
        <w:rPr>
          <w:rFonts w:eastAsia="Times New Roman"/>
          <w:color w:val="auto"/>
          <w:lang w:val="en-US" w:eastAsia="ru-RU"/>
        </w:rPr>
        <w:t xml:space="preserve">- </w:t>
      </w:r>
      <w:proofErr w:type="gramStart"/>
      <w:r w:rsidR="002C716B" w:rsidRPr="00024F18">
        <w:rPr>
          <w:lang w:val="en-US"/>
        </w:rPr>
        <w:t>implementation</w:t>
      </w:r>
      <w:proofErr w:type="gramEnd"/>
      <w:r w:rsidR="002C716B" w:rsidRPr="00024F18">
        <w:rPr>
          <w:lang w:val="en-US"/>
        </w:rPr>
        <w:t xml:space="preserve"> of programs intended to increase motivation and reduction of volumes of staff turnover, implementation of non-material motivation methods</w:t>
      </w:r>
      <w:r w:rsidRPr="002C716B">
        <w:rPr>
          <w:rFonts w:eastAsia="Times New Roman"/>
          <w:color w:val="auto"/>
          <w:lang w:val="en-US" w:eastAsia="ru-RU"/>
        </w:rPr>
        <w:t xml:space="preserve">. </w:t>
      </w:r>
    </w:p>
    <w:p w:rsidR="00CF173D" w:rsidRPr="002C716B" w:rsidRDefault="00CF173D" w:rsidP="003352D5">
      <w:pPr>
        <w:pStyle w:val="Default"/>
        <w:ind w:firstLine="708"/>
        <w:jc w:val="both"/>
        <w:rPr>
          <w:rFonts w:eastAsia="Times New Roman"/>
          <w:color w:val="auto"/>
          <w:lang w:val="en-US" w:eastAsia="ru-RU"/>
        </w:rPr>
      </w:pPr>
    </w:p>
    <w:p w:rsidR="00E75F06" w:rsidRPr="00B04E3D" w:rsidRDefault="005E29DE" w:rsidP="008041DF">
      <w:pPr>
        <w:pStyle w:val="2"/>
        <w:ind w:firstLine="720"/>
        <w:rPr>
          <w:i/>
          <w:szCs w:val="24"/>
          <w:lang w:val="en-US"/>
        </w:rPr>
      </w:pPr>
      <w:r w:rsidRPr="00B04E3D">
        <w:rPr>
          <w:i/>
          <w:szCs w:val="24"/>
          <w:lang w:val="en-US"/>
        </w:rPr>
        <w:t>Country risks</w:t>
      </w:r>
    </w:p>
    <w:p w:rsidR="00E75F06" w:rsidRPr="00B04E3D" w:rsidRDefault="00E75F06" w:rsidP="004034FB">
      <w:pPr>
        <w:jc w:val="both"/>
        <w:rPr>
          <w:sz w:val="24"/>
          <w:szCs w:val="24"/>
          <w:lang w:val="en-US"/>
        </w:rPr>
      </w:pPr>
    </w:p>
    <w:p w:rsidR="00E75F06" w:rsidRPr="00B04E3D" w:rsidRDefault="00B04E3D" w:rsidP="005A4D94">
      <w:pPr>
        <w:pStyle w:val="Text"/>
        <w:spacing w:after="0"/>
        <w:ind w:firstLine="720"/>
        <w:rPr>
          <w:sz w:val="24"/>
          <w:szCs w:val="24"/>
          <w:lang w:val="en-US" w:eastAsia="ru-RU"/>
        </w:rPr>
      </w:pPr>
      <w:r w:rsidRPr="00F35D5A">
        <w:rPr>
          <w:rFonts w:eastAsia="Times New Roman"/>
          <w:sz w:val="24"/>
          <w:szCs w:val="24"/>
          <w:lang w:val="en-US" w:eastAsia="ru-RU"/>
        </w:rPr>
        <w:t xml:space="preserve">Stability of the Russian economy is largely dependent on the progress of economic reforms, development of the legal, tax and regulatory frameworks as well as the effectiveness of the measures </w:t>
      </w:r>
      <w:r>
        <w:rPr>
          <w:rFonts w:eastAsia="Times New Roman"/>
          <w:sz w:val="24"/>
          <w:szCs w:val="24"/>
          <w:lang w:val="en-US" w:eastAsia="ru-RU"/>
        </w:rPr>
        <w:t xml:space="preserve">of </w:t>
      </w:r>
      <w:r w:rsidRPr="00F35D5A">
        <w:rPr>
          <w:rFonts w:eastAsia="Times New Roman"/>
          <w:sz w:val="24"/>
          <w:szCs w:val="24"/>
          <w:lang w:val="en-US" w:eastAsia="ru-RU"/>
        </w:rPr>
        <w:t>the Government of the Russian Federation in the field of finance and monetary policy</w:t>
      </w:r>
      <w:r w:rsidR="00E75F06" w:rsidRPr="00B04E3D">
        <w:rPr>
          <w:sz w:val="24"/>
          <w:szCs w:val="24"/>
          <w:lang w:val="en-US" w:eastAsia="ru-RU"/>
        </w:rPr>
        <w:t xml:space="preserve">. </w:t>
      </w:r>
    </w:p>
    <w:p w:rsidR="00E75F06" w:rsidRPr="00B04E3D" w:rsidRDefault="00E75F06" w:rsidP="005A4D94">
      <w:pPr>
        <w:pStyle w:val="Text"/>
        <w:spacing w:after="0"/>
        <w:ind w:firstLine="720"/>
        <w:rPr>
          <w:sz w:val="24"/>
          <w:szCs w:val="24"/>
          <w:lang w:val="en-US" w:eastAsia="ru-RU"/>
        </w:rPr>
      </w:pPr>
    </w:p>
    <w:p w:rsidR="00E75F06" w:rsidRPr="00B04E3D" w:rsidRDefault="00B04E3D" w:rsidP="005A4D94">
      <w:pPr>
        <w:pStyle w:val="Text"/>
        <w:spacing w:after="0"/>
        <w:ind w:firstLine="720"/>
        <w:rPr>
          <w:sz w:val="24"/>
          <w:szCs w:val="24"/>
          <w:lang w:val="en-US" w:eastAsia="ru-RU"/>
        </w:rPr>
      </w:pPr>
      <w:r w:rsidRPr="00F35D5A">
        <w:rPr>
          <w:rFonts w:eastAsia="Times New Roman"/>
          <w:sz w:val="24"/>
          <w:szCs w:val="24"/>
          <w:lang w:val="en-US" w:eastAsia="ru-RU"/>
        </w:rPr>
        <w:t>At present, the political situation in the country is relatively stable, while at the same time, the Russian economy is vulnerable to the negative effects due to the significant reduction in crude oil prices, a significant devaluation of the Russian ruble</w:t>
      </w:r>
      <w:r>
        <w:rPr>
          <w:rFonts w:eastAsia="Times New Roman"/>
          <w:sz w:val="24"/>
          <w:szCs w:val="24"/>
          <w:lang w:val="en-US" w:eastAsia="ru-RU"/>
        </w:rPr>
        <w:t>,</w:t>
      </w:r>
      <w:r w:rsidRPr="00F35D5A">
        <w:rPr>
          <w:rFonts w:eastAsia="Times New Roman"/>
          <w:sz w:val="24"/>
          <w:szCs w:val="24"/>
          <w:lang w:val="en-US" w:eastAsia="ru-RU"/>
        </w:rPr>
        <w:t xml:space="preserve"> as well as the sanctions imposed on Russia by some countries</w:t>
      </w:r>
      <w:r w:rsidR="003332A0" w:rsidRPr="00B04E3D">
        <w:rPr>
          <w:sz w:val="24"/>
          <w:szCs w:val="24"/>
          <w:lang w:val="en-US" w:eastAsia="ru-RU"/>
        </w:rPr>
        <w:t>.</w:t>
      </w:r>
    </w:p>
    <w:p w:rsidR="00E75F06" w:rsidRPr="00B04E3D" w:rsidRDefault="00E75F06" w:rsidP="005A4D94">
      <w:pPr>
        <w:pStyle w:val="Text"/>
        <w:spacing w:after="0"/>
        <w:ind w:firstLine="720"/>
        <w:rPr>
          <w:sz w:val="24"/>
          <w:szCs w:val="24"/>
          <w:lang w:val="en-US" w:eastAsia="ru-RU"/>
        </w:rPr>
      </w:pPr>
    </w:p>
    <w:p w:rsidR="00E75F06" w:rsidRPr="00B04E3D" w:rsidRDefault="00B04E3D" w:rsidP="005A4D94">
      <w:pPr>
        <w:pStyle w:val="Text"/>
        <w:spacing w:after="0"/>
        <w:ind w:firstLine="720"/>
        <w:rPr>
          <w:sz w:val="24"/>
          <w:szCs w:val="24"/>
          <w:lang w:val="en-US" w:eastAsia="ru-RU"/>
        </w:rPr>
      </w:pPr>
      <w:r w:rsidRPr="00F35D5A">
        <w:rPr>
          <w:rFonts w:eastAsia="Times New Roman"/>
          <w:sz w:val="24"/>
          <w:szCs w:val="24"/>
          <w:lang w:val="en-US" w:eastAsia="ru-RU"/>
        </w:rPr>
        <w:t xml:space="preserve">In spite of the stabilization measures taken by the Government of the Russian Federation in order to ensure liquidity and refinancing for Russian banks and companies, </w:t>
      </w:r>
      <w:r>
        <w:rPr>
          <w:rFonts w:eastAsia="Times New Roman"/>
          <w:sz w:val="24"/>
          <w:szCs w:val="24"/>
          <w:lang w:val="en-US" w:eastAsia="ru-RU"/>
        </w:rPr>
        <w:t>there is still</w:t>
      </w:r>
      <w:r w:rsidRPr="00F35D5A">
        <w:rPr>
          <w:rFonts w:eastAsia="Times New Roman"/>
          <w:sz w:val="24"/>
          <w:szCs w:val="24"/>
          <w:lang w:val="en-US" w:eastAsia="ru-RU"/>
        </w:rPr>
        <w:t xml:space="preserve"> uncertainty regarding the access to capital and cost of capital for the Company and its counterparties, which could affect the financial position, results of operations and economic prospects of the Company. Instability in the capital markets may lead to significant deterioration of liquidity in the banking sector, and tighter credit conditions within Russia</w:t>
      </w:r>
      <w:r w:rsidR="00E75F06" w:rsidRPr="00B04E3D">
        <w:rPr>
          <w:sz w:val="24"/>
          <w:szCs w:val="24"/>
          <w:lang w:val="en-US" w:eastAsia="ru-RU"/>
        </w:rPr>
        <w:t xml:space="preserve">. </w:t>
      </w:r>
    </w:p>
    <w:p w:rsidR="00E75F06" w:rsidRPr="00B04E3D" w:rsidRDefault="00E75F06" w:rsidP="005A4D94">
      <w:pPr>
        <w:pStyle w:val="Text"/>
        <w:spacing w:after="0"/>
        <w:ind w:firstLine="720"/>
        <w:rPr>
          <w:sz w:val="24"/>
          <w:szCs w:val="24"/>
          <w:lang w:val="en-US" w:eastAsia="ru-RU"/>
        </w:rPr>
      </w:pPr>
    </w:p>
    <w:p w:rsidR="00E75F06" w:rsidRPr="00E75E4F" w:rsidRDefault="00E75E4F" w:rsidP="005A4D94">
      <w:pPr>
        <w:pStyle w:val="Text"/>
        <w:spacing w:after="0"/>
        <w:ind w:firstLine="720"/>
        <w:rPr>
          <w:sz w:val="24"/>
          <w:szCs w:val="24"/>
          <w:lang w:val="en-US" w:eastAsia="ru-RU"/>
        </w:rPr>
      </w:pPr>
      <w:r w:rsidRPr="00F35D5A">
        <w:rPr>
          <w:rFonts w:eastAsia="Times New Roman"/>
          <w:sz w:val="24"/>
          <w:szCs w:val="24"/>
          <w:lang w:val="en-US" w:eastAsia="ru-RU"/>
        </w:rPr>
        <w:t>In general, the Company may not have a significant impact on the economic situation in the country. However, in the case of a negative impact of changes in the situation in the country or region of the Russian Federation, in which the Company operates, the Company will take all measures to reduce the adverse effects on the financial position and results of operations of the Company</w:t>
      </w:r>
      <w:r w:rsidR="00E75F06" w:rsidRPr="00E75E4F">
        <w:rPr>
          <w:sz w:val="24"/>
          <w:szCs w:val="24"/>
          <w:lang w:val="en-US" w:eastAsia="ru-RU"/>
        </w:rPr>
        <w:t>.</w:t>
      </w:r>
    </w:p>
    <w:p w:rsidR="00E75F06" w:rsidRPr="00E75E4F" w:rsidRDefault="00E75F06" w:rsidP="005A4D94">
      <w:pPr>
        <w:pStyle w:val="Text"/>
        <w:spacing w:after="0"/>
        <w:ind w:firstLine="720"/>
        <w:rPr>
          <w:sz w:val="24"/>
          <w:szCs w:val="24"/>
          <w:lang w:val="en-US" w:eastAsia="ru-RU"/>
        </w:rPr>
      </w:pPr>
    </w:p>
    <w:p w:rsidR="00E75F06" w:rsidRPr="003B5677" w:rsidRDefault="005E29DE" w:rsidP="005A4D94">
      <w:pPr>
        <w:pStyle w:val="Text"/>
        <w:spacing w:after="0"/>
        <w:ind w:firstLine="720"/>
        <w:rPr>
          <w:sz w:val="24"/>
          <w:szCs w:val="24"/>
          <w:lang w:val="en-US" w:eastAsia="ru-RU"/>
        </w:rPr>
      </w:pPr>
      <w:r w:rsidRPr="00256D3F">
        <w:rPr>
          <w:rStyle w:val="Subst"/>
          <w:b w:val="0"/>
          <w:bCs/>
          <w:i w:val="0"/>
          <w:iCs/>
          <w:lang w:val="en-US"/>
        </w:rPr>
        <w:t>The probability of military conflicts and introduction of state of emergency in the country and in the regions of the service area of the Company is insignificant</w:t>
      </w:r>
      <w:r w:rsidRPr="005E29DE">
        <w:rPr>
          <w:sz w:val="24"/>
          <w:szCs w:val="24"/>
          <w:lang w:val="en-US" w:eastAsia="ru-RU"/>
        </w:rPr>
        <w:t xml:space="preserve"> </w:t>
      </w:r>
      <w:r w:rsidR="003B5677" w:rsidRPr="00F35D5A">
        <w:rPr>
          <w:rFonts w:eastAsia="Times New Roman"/>
          <w:sz w:val="24"/>
          <w:szCs w:val="24"/>
          <w:lang w:val="en-US" w:eastAsia="ru-RU"/>
        </w:rPr>
        <w:t>to consider these risks as circumstances capable to significantly affect the Company</w:t>
      </w:r>
      <w:r w:rsidR="003B5677">
        <w:rPr>
          <w:rFonts w:eastAsia="Times New Roman"/>
          <w:sz w:val="24"/>
          <w:szCs w:val="24"/>
          <w:lang w:val="en-US" w:eastAsia="ru-RU"/>
        </w:rPr>
        <w:t>’s activity</w:t>
      </w:r>
      <w:r w:rsidR="003B5677" w:rsidRPr="00F35D5A">
        <w:rPr>
          <w:rFonts w:eastAsia="Times New Roman"/>
          <w:sz w:val="24"/>
          <w:szCs w:val="24"/>
          <w:lang w:val="en-US" w:eastAsia="ru-RU"/>
        </w:rPr>
        <w:t xml:space="preserve">. To prevent strikes </w:t>
      </w:r>
      <w:r w:rsidR="003B5677">
        <w:rPr>
          <w:rFonts w:eastAsia="Times New Roman"/>
          <w:sz w:val="24"/>
          <w:szCs w:val="24"/>
          <w:lang w:val="en-US" w:eastAsia="ru-RU"/>
        </w:rPr>
        <w:t xml:space="preserve">the </w:t>
      </w:r>
      <w:r w:rsidR="003B5677" w:rsidRPr="00F35D5A">
        <w:rPr>
          <w:rFonts w:eastAsia="Times New Roman"/>
          <w:sz w:val="24"/>
          <w:szCs w:val="24"/>
          <w:lang w:val="en-US" w:eastAsia="ru-RU"/>
        </w:rPr>
        <w:t xml:space="preserve">Company creates </w:t>
      </w:r>
      <w:proofErr w:type="spellStart"/>
      <w:r w:rsidR="003B5677" w:rsidRPr="00F35D5A">
        <w:rPr>
          <w:rFonts w:eastAsia="Times New Roman"/>
          <w:sz w:val="24"/>
          <w:szCs w:val="24"/>
          <w:lang w:val="en-US" w:eastAsia="ru-RU"/>
        </w:rPr>
        <w:lastRenderedPageBreak/>
        <w:t>favo</w:t>
      </w:r>
      <w:r w:rsidR="003B5677">
        <w:rPr>
          <w:rFonts w:eastAsia="Times New Roman"/>
          <w:sz w:val="24"/>
          <w:szCs w:val="24"/>
          <w:lang w:val="en-US" w:eastAsia="ru-RU"/>
        </w:rPr>
        <w:t>u</w:t>
      </w:r>
      <w:r w:rsidR="003B5677" w:rsidRPr="00F35D5A">
        <w:rPr>
          <w:rFonts w:eastAsia="Times New Roman"/>
          <w:sz w:val="24"/>
          <w:szCs w:val="24"/>
          <w:lang w:val="en-US" w:eastAsia="ru-RU"/>
        </w:rPr>
        <w:t>rable</w:t>
      </w:r>
      <w:proofErr w:type="spellEnd"/>
      <w:r w:rsidR="003B5677" w:rsidRPr="00F35D5A">
        <w:rPr>
          <w:rFonts w:eastAsia="Times New Roman"/>
          <w:sz w:val="24"/>
          <w:szCs w:val="24"/>
          <w:lang w:val="en-US" w:eastAsia="ru-RU"/>
        </w:rPr>
        <w:t xml:space="preserve"> conditions of work and fulfills its obligations to its employees. To minimize the risk of terrorist attacks the Company has taken additional measures to ensure security in the enterprise</w:t>
      </w:r>
      <w:r w:rsidR="00E75F06" w:rsidRPr="003B5677">
        <w:rPr>
          <w:sz w:val="24"/>
          <w:szCs w:val="24"/>
          <w:lang w:val="en-US" w:eastAsia="ru-RU"/>
        </w:rPr>
        <w:t>.</w:t>
      </w:r>
    </w:p>
    <w:p w:rsidR="00E75F06" w:rsidRPr="003B5677" w:rsidRDefault="00E75F06" w:rsidP="005A4D94">
      <w:pPr>
        <w:pStyle w:val="Text"/>
        <w:spacing w:after="0"/>
        <w:ind w:firstLine="720"/>
        <w:rPr>
          <w:sz w:val="24"/>
          <w:szCs w:val="24"/>
          <w:lang w:val="en-US" w:eastAsia="ru-RU"/>
        </w:rPr>
      </w:pPr>
    </w:p>
    <w:p w:rsidR="00CF173D" w:rsidRPr="00BC1B2F" w:rsidRDefault="00BC1B2F" w:rsidP="005A4D94">
      <w:pPr>
        <w:pStyle w:val="Default"/>
        <w:ind w:firstLine="720"/>
        <w:jc w:val="both"/>
        <w:rPr>
          <w:rFonts w:eastAsia="Times New Roman"/>
          <w:color w:val="auto"/>
          <w:lang w:val="en-US" w:eastAsia="ru-RU"/>
        </w:rPr>
      </w:pPr>
      <w:r w:rsidRPr="00F35D5A">
        <w:rPr>
          <w:rFonts w:eastAsia="Times New Roman"/>
          <w:lang w:val="en-US" w:eastAsia="ru-RU"/>
        </w:rPr>
        <w:t>Risks</w:t>
      </w:r>
      <w:r>
        <w:rPr>
          <w:rFonts w:eastAsia="Times New Roman"/>
          <w:lang w:val="en-US" w:eastAsia="ru-RU"/>
        </w:rPr>
        <w:t>,</w:t>
      </w:r>
      <w:r w:rsidRPr="00F35D5A">
        <w:rPr>
          <w:rFonts w:eastAsia="Times New Roman"/>
          <w:lang w:val="en-US" w:eastAsia="ru-RU"/>
        </w:rPr>
        <w:t xml:space="preserve"> associated with the geographical features of the region in which the Company operates, including increased risk of natural disasters, possible interruption of transportation due to remoteness and inaccessibility</w:t>
      </w:r>
      <w:r>
        <w:rPr>
          <w:rFonts w:eastAsia="Times New Roman"/>
          <w:lang w:val="en-US" w:eastAsia="ru-RU"/>
        </w:rPr>
        <w:t>,</w:t>
      </w:r>
      <w:r w:rsidRPr="00F35D5A">
        <w:rPr>
          <w:rFonts w:eastAsia="Times New Roman"/>
          <w:lang w:val="en-US" w:eastAsia="ru-RU"/>
        </w:rPr>
        <w:t xml:space="preserve"> are assessed as insignificant</w:t>
      </w:r>
      <w:r w:rsidR="00E75F06" w:rsidRPr="00BC1B2F">
        <w:rPr>
          <w:lang w:val="en-US" w:eastAsia="ru-RU"/>
        </w:rPr>
        <w:t>.</w:t>
      </w:r>
    </w:p>
    <w:p w:rsidR="003352D5" w:rsidRPr="00BC1B2F" w:rsidRDefault="003352D5" w:rsidP="003352D5">
      <w:pPr>
        <w:pStyle w:val="Default"/>
        <w:rPr>
          <w:rFonts w:eastAsia="Times New Roman"/>
          <w:color w:val="auto"/>
          <w:lang w:val="en-US" w:eastAsia="ru-RU"/>
        </w:rPr>
      </w:pPr>
    </w:p>
    <w:p w:rsidR="0023664B" w:rsidRPr="00BC1B2F" w:rsidRDefault="0023664B" w:rsidP="003352D5">
      <w:pPr>
        <w:pStyle w:val="Default"/>
        <w:rPr>
          <w:rFonts w:eastAsia="Times New Roman"/>
          <w:color w:val="auto"/>
          <w:lang w:val="en-US" w:eastAsia="ru-RU"/>
        </w:rPr>
      </w:pPr>
    </w:p>
    <w:p w:rsidR="00853598" w:rsidRPr="00AC5B68" w:rsidRDefault="00AC5B68" w:rsidP="00C60265">
      <w:pPr>
        <w:pStyle w:val="8"/>
        <w:rPr>
          <w:lang w:val="en-US"/>
        </w:rPr>
      </w:pPr>
      <w:bookmarkStart w:id="50" w:name="_Toc381199354"/>
      <w:r w:rsidRPr="004B0EB0">
        <w:rPr>
          <w:lang w:val="en-US"/>
        </w:rPr>
        <w:t xml:space="preserve">Information disclosure according to Federal law #261 from 23.11.09 «About energy </w:t>
      </w:r>
      <w:r>
        <w:rPr>
          <w:lang w:val="en-US"/>
        </w:rPr>
        <w:t>conservation</w:t>
      </w:r>
      <w:r w:rsidRPr="004B0EB0">
        <w:rPr>
          <w:lang w:val="en-US"/>
        </w:rPr>
        <w:t xml:space="preserve"> and increase of energy efficiency and modification of some legislative acts of the Russian Federation</w:t>
      </w:r>
      <w:r w:rsidR="00853598" w:rsidRPr="00AC5B68">
        <w:rPr>
          <w:lang w:val="en-US"/>
        </w:rPr>
        <w:t>»</w:t>
      </w:r>
      <w:bookmarkEnd w:id="50"/>
    </w:p>
    <w:p w:rsidR="0023664B" w:rsidRPr="00AC5B68" w:rsidRDefault="0023664B" w:rsidP="0023664B">
      <w:pPr>
        <w:rPr>
          <w:lang w:val="en-US" w:eastAsia="ru-RU"/>
        </w:rPr>
      </w:pPr>
    </w:p>
    <w:p w:rsidR="00997762" w:rsidRPr="00F0018D" w:rsidRDefault="00F0018D" w:rsidP="00997762">
      <w:pPr>
        <w:ind w:firstLine="709"/>
        <w:jc w:val="both"/>
        <w:rPr>
          <w:sz w:val="24"/>
          <w:szCs w:val="24"/>
          <w:lang w:val="en-US" w:eastAsia="ru-RU"/>
        </w:rPr>
      </w:pPr>
      <w:r w:rsidRPr="00F74282">
        <w:rPr>
          <w:sz w:val="24"/>
          <w:szCs w:val="24"/>
          <w:lang w:val="en-US" w:eastAsia="ru-RU"/>
        </w:rPr>
        <w:t xml:space="preserve">According to Law № 261-FZ, the Company is guided in </w:t>
      </w:r>
      <w:r>
        <w:rPr>
          <w:sz w:val="24"/>
          <w:szCs w:val="24"/>
          <w:lang w:val="en-US" w:eastAsia="ru-RU"/>
        </w:rPr>
        <w:t xml:space="preserve">its work with </w:t>
      </w:r>
      <w:r w:rsidRPr="00F74282">
        <w:rPr>
          <w:sz w:val="24"/>
          <w:szCs w:val="24"/>
          <w:lang w:val="en-US" w:eastAsia="ru-RU"/>
        </w:rPr>
        <w:t>the legal documents of the Russian Federation in the field of energy conservation and energy efficiency in the implementation of regulated and other activities</w:t>
      </w:r>
      <w:r w:rsidR="00997762" w:rsidRPr="00F0018D">
        <w:rPr>
          <w:sz w:val="24"/>
          <w:szCs w:val="24"/>
          <w:lang w:val="en-US" w:eastAsia="ru-RU"/>
        </w:rPr>
        <w:t>.</w:t>
      </w:r>
    </w:p>
    <w:p w:rsidR="00997762" w:rsidRPr="00F0018D" w:rsidRDefault="00F0018D" w:rsidP="005746F7">
      <w:pPr>
        <w:ind w:firstLine="709"/>
        <w:jc w:val="both"/>
        <w:rPr>
          <w:sz w:val="24"/>
          <w:szCs w:val="24"/>
          <w:lang w:val="en-US" w:eastAsia="ru-RU"/>
        </w:rPr>
      </w:pPr>
      <w:r w:rsidRPr="00F74282">
        <w:rPr>
          <w:sz w:val="24"/>
          <w:szCs w:val="24"/>
          <w:lang w:val="en-US" w:eastAsia="ru-RU"/>
        </w:rPr>
        <w:t xml:space="preserve">In accordance with the RF Government </w:t>
      </w:r>
      <w:r>
        <w:rPr>
          <w:sz w:val="24"/>
          <w:szCs w:val="24"/>
          <w:lang w:val="en-US" w:eastAsia="ru-RU"/>
        </w:rPr>
        <w:t>Resolution</w:t>
      </w:r>
      <w:r w:rsidRPr="00F74282">
        <w:rPr>
          <w:sz w:val="24"/>
          <w:szCs w:val="24"/>
          <w:lang w:val="en-US" w:eastAsia="ru-RU"/>
        </w:rPr>
        <w:t xml:space="preserve"> of 15.05.2010, № 340 "On the procedure of establishing requirements for programs in </w:t>
      </w:r>
      <w:r>
        <w:rPr>
          <w:sz w:val="24"/>
          <w:szCs w:val="24"/>
          <w:lang w:val="en-US" w:eastAsia="ru-RU"/>
        </w:rPr>
        <w:t xml:space="preserve">the area of </w:t>
      </w:r>
      <w:r w:rsidRPr="00F74282">
        <w:rPr>
          <w:sz w:val="24"/>
          <w:szCs w:val="24"/>
          <w:lang w:val="en-US" w:eastAsia="ru-RU"/>
        </w:rPr>
        <w:t xml:space="preserve">energy conservation and energy efficiency </w:t>
      </w:r>
      <w:r>
        <w:rPr>
          <w:sz w:val="24"/>
          <w:szCs w:val="24"/>
          <w:lang w:val="en-US" w:eastAsia="ru-RU"/>
        </w:rPr>
        <w:t xml:space="preserve">of </w:t>
      </w:r>
      <w:r w:rsidRPr="00F74282">
        <w:rPr>
          <w:sz w:val="24"/>
          <w:szCs w:val="24"/>
          <w:lang w:val="en-US" w:eastAsia="ru-RU"/>
        </w:rPr>
        <w:t xml:space="preserve">organizations carrying out regulated activities" </w:t>
      </w:r>
      <w:r>
        <w:rPr>
          <w:sz w:val="24"/>
          <w:szCs w:val="24"/>
          <w:lang w:val="en-US" w:eastAsia="ru-RU"/>
        </w:rPr>
        <w:t xml:space="preserve">the </w:t>
      </w:r>
      <w:r w:rsidRPr="00F74282">
        <w:rPr>
          <w:sz w:val="24"/>
          <w:szCs w:val="24"/>
          <w:lang w:val="en-US" w:eastAsia="ru-RU"/>
        </w:rPr>
        <w:t xml:space="preserve">program of energy conservation and energy efficiency of IDGC of Centre </w:t>
      </w:r>
      <w:r>
        <w:rPr>
          <w:sz w:val="24"/>
          <w:szCs w:val="24"/>
          <w:lang w:val="en-US" w:eastAsia="ru-RU"/>
        </w:rPr>
        <w:t xml:space="preserve">was </w:t>
      </w:r>
      <w:r w:rsidRPr="00F74282">
        <w:rPr>
          <w:sz w:val="24"/>
          <w:szCs w:val="24"/>
          <w:lang w:val="en-US" w:eastAsia="ru-RU"/>
        </w:rPr>
        <w:t>approved</w:t>
      </w:r>
      <w:r>
        <w:rPr>
          <w:sz w:val="24"/>
          <w:szCs w:val="24"/>
          <w:lang w:val="en-US" w:eastAsia="ru-RU"/>
        </w:rPr>
        <w:t>,</w:t>
      </w:r>
      <w:r w:rsidRPr="00F74282">
        <w:rPr>
          <w:sz w:val="24"/>
          <w:szCs w:val="24"/>
          <w:lang w:val="en-US" w:eastAsia="ru-RU"/>
        </w:rPr>
        <w:t xml:space="preserve"> which includes the following indicators</w:t>
      </w:r>
      <w:r w:rsidR="00997762" w:rsidRPr="00F0018D">
        <w:rPr>
          <w:sz w:val="24"/>
          <w:szCs w:val="24"/>
          <w:lang w:val="en-US" w:eastAsia="ru-RU"/>
        </w:rPr>
        <w:t>:</w:t>
      </w:r>
    </w:p>
    <w:p w:rsidR="00997762" w:rsidRPr="00F0018D" w:rsidRDefault="00F0018D" w:rsidP="00E37AB5">
      <w:pPr>
        <w:pStyle w:val="ab"/>
        <w:numPr>
          <w:ilvl w:val="0"/>
          <w:numId w:val="9"/>
        </w:numPr>
        <w:autoSpaceDE w:val="0"/>
        <w:autoSpaceDN w:val="0"/>
        <w:adjustRightInd w:val="0"/>
        <w:ind w:left="0" w:firstLine="709"/>
        <w:contextualSpacing w:val="0"/>
        <w:jc w:val="both"/>
        <w:outlineLvl w:val="1"/>
        <w:rPr>
          <w:sz w:val="24"/>
          <w:szCs w:val="24"/>
          <w:lang w:val="en-US" w:eastAsia="ru-RU"/>
        </w:rPr>
      </w:pPr>
      <w:r w:rsidRPr="00F74282">
        <w:rPr>
          <w:sz w:val="24"/>
          <w:szCs w:val="24"/>
          <w:lang w:val="en-US" w:eastAsia="ru-RU"/>
        </w:rPr>
        <w:t>effect of reducing losses (million KWh</w:t>
      </w:r>
      <w:r w:rsidR="00997762" w:rsidRPr="00F0018D">
        <w:rPr>
          <w:sz w:val="24"/>
          <w:szCs w:val="24"/>
          <w:lang w:val="en-US" w:eastAsia="ru-RU"/>
        </w:rPr>
        <w:t>);</w:t>
      </w:r>
    </w:p>
    <w:p w:rsidR="00997762" w:rsidRPr="00F0018D" w:rsidRDefault="00F0018D" w:rsidP="00E37AB5">
      <w:pPr>
        <w:pStyle w:val="ab"/>
        <w:numPr>
          <w:ilvl w:val="0"/>
          <w:numId w:val="9"/>
        </w:numPr>
        <w:autoSpaceDE w:val="0"/>
        <w:autoSpaceDN w:val="0"/>
        <w:adjustRightInd w:val="0"/>
        <w:ind w:left="0" w:firstLine="709"/>
        <w:contextualSpacing w:val="0"/>
        <w:jc w:val="both"/>
        <w:outlineLvl w:val="1"/>
        <w:rPr>
          <w:sz w:val="24"/>
          <w:szCs w:val="24"/>
          <w:lang w:val="en-US" w:eastAsia="ru-RU"/>
        </w:rPr>
      </w:pPr>
      <w:r w:rsidRPr="00F74282">
        <w:rPr>
          <w:sz w:val="24"/>
          <w:szCs w:val="24"/>
          <w:lang w:val="en-US" w:eastAsia="ru-RU"/>
        </w:rPr>
        <w:t xml:space="preserve">numerical value </w:t>
      </w:r>
      <w:r w:rsidR="00F55D28">
        <w:rPr>
          <w:sz w:val="24"/>
          <w:szCs w:val="24"/>
          <w:lang w:val="en-US" w:eastAsia="ru-RU"/>
        </w:rPr>
        <w:t xml:space="preserve">of </w:t>
      </w:r>
      <w:r w:rsidRPr="00F74282">
        <w:rPr>
          <w:sz w:val="24"/>
          <w:szCs w:val="24"/>
          <w:lang w:val="en-US" w:eastAsia="ru-RU"/>
        </w:rPr>
        <w:t>savings</w:t>
      </w:r>
      <w:r w:rsidRPr="00F0018D">
        <w:rPr>
          <w:sz w:val="24"/>
          <w:szCs w:val="24"/>
          <w:lang w:val="en-US" w:eastAsia="ru-RU"/>
        </w:rPr>
        <w:t xml:space="preserve"> </w:t>
      </w:r>
      <w:r w:rsidR="00997762" w:rsidRPr="00F0018D">
        <w:rPr>
          <w:sz w:val="24"/>
          <w:szCs w:val="24"/>
          <w:lang w:val="en-US" w:eastAsia="ru-RU"/>
        </w:rPr>
        <w:t>(</w:t>
      </w:r>
      <w:r w:rsidR="00F55D28" w:rsidRPr="00F55D28">
        <w:rPr>
          <w:sz w:val="24"/>
          <w:szCs w:val="24"/>
          <w:lang w:val="en-US" w:eastAsia="ru-RU"/>
        </w:rPr>
        <w:t>ton of reference fuel</w:t>
      </w:r>
      <w:r w:rsidR="00997762" w:rsidRPr="00F0018D">
        <w:rPr>
          <w:sz w:val="24"/>
          <w:szCs w:val="24"/>
          <w:lang w:val="en-US" w:eastAsia="ru-RU"/>
        </w:rPr>
        <w:t>);</w:t>
      </w:r>
    </w:p>
    <w:p w:rsidR="00997762" w:rsidRPr="00D2563A" w:rsidRDefault="00D2563A" w:rsidP="00E37AB5">
      <w:pPr>
        <w:pStyle w:val="ab"/>
        <w:numPr>
          <w:ilvl w:val="0"/>
          <w:numId w:val="9"/>
        </w:numPr>
        <w:autoSpaceDE w:val="0"/>
        <w:autoSpaceDN w:val="0"/>
        <w:adjustRightInd w:val="0"/>
        <w:ind w:left="0" w:firstLine="709"/>
        <w:contextualSpacing w:val="0"/>
        <w:jc w:val="both"/>
        <w:outlineLvl w:val="1"/>
        <w:rPr>
          <w:sz w:val="24"/>
          <w:szCs w:val="24"/>
          <w:lang w:val="en-US" w:eastAsia="ru-RU"/>
        </w:rPr>
      </w:pPr>
      <w:r w:rsidRPr="00F74282">
        <w:rPr>
          <w:sz w:val="24"/>
          <w:szCs w:val="24"/>
          <w:lang w:val="en-US" w:eastAsia="ru-RU"/>
        </w:rPr>
        <w:t>economic effect</w:t>
      </w:r>
      <w:r w:rsidR="00997762" w:rsidRPr="00D2563A">
        <w:rPr>
          <w:sz w:val="24"/>
          <w:szCs w:val="24"/>
          <w:lang w:val="en-US" w:eastAsia="ru-RU"/>
        </w:rPr>
        <w:t xml:space="preserve"> (</w:t>
      </w:r>
      <w:proofErr w:type="spellStart"/>
      <w:r w:rsidR="00F55D28" w:rsidRPr="00F74282">
        <w:rPr>
          <w:sz w:val="24"/>
          <w:szCs w:val="24"/>
          <w:lang w:val="en-US" w:eastAsia="ru-RU"/>
        </w:rPr>
        <w:t>mln</w:t>
      </w:r>
      <w:proofErr w:type="spellEnd"/>
      <w:r w:rsidR="00F55D28" w:rsidRPr="00D2563A">
        <w:rPr>
          <w:sz w:val="24"/>
          <w:szCs w:val="24"/>
          <w:lang w:val="en-US" w:eastAsia="ru-RU"/>
        </w:rPr>
        <w:t xml:space="preserve"> </w:t>
      </w:r>
      <w:r w:rsidR="00F55D28" w:rsidRPr="00F74282">
        <w:rPr>
          <w:sz w:val="24"/>
          <w:szCs w:val="24"/>
          <w:lang w:val="en-US" w:eastAsia="ru-RU"/>
        </w:rPr>
        <w:t>R</w:t>
      </w:r>
      <w:r w:rsidR="00F55D28">
        <w:rPr>
          <w:sz w:val="24"/>
          <w:szCs w:val="24"/>
          <w:lang w:val="en-US" w:eastAsia="ru-RU"/>
        </w:rPr>
        <w:t>UB</w:t>
      </w:r>
      <w:r w:rsidR="00F55D28" w:rsidRPr="00D2563A">
        <w:rPr>
          <w:sz w:val="24"/>
          <w:szCs w:val="24"/>
          <w:lang w:val="en-US" w:eastAsia="ru-RU"/>
        </w:rPr>
        <w:t xml:space="preserve">, </w:t>
      </w:r>
      <w:r w:rsidR="00F55D28">
        <w:rPr>
          <w:sz w:val="24"/>
          <w:szCs w:val="24"/>
          <w:lang w:val="en-US" w:eastAsia="ru-RU"/>
        </w:rPr>
        <w:t>without</w:t>
      </w:r>
      <w:r w:rsidR="00F55D28" w:rsidRPr="00D2563A">
        <w:rPr>
          <w:sz w:val="24"/>
          <w:szCs w:val="24"/>
          <w:lang w:val="en-US" w:eastAsia="ru-RU"/>
        </w:rPr>
        <w:t xml:space="preserve"> </w:t>
      </w:r>
      <w:r w:rsidR="00F55D28" w:rsidRPr="00F74282">
        <w:rPr>
          <w:sz w:val="24"/>
          <w:szCs w:val="24"/>
          <w:lang w:val="en-US" w:eastAsia="ru-RU"/>
        </w:rPr>
        <w:t>VAT</w:t>
      </w:r>
      <w:r w:rsidR="00997762" w:rsidRPr="00D2563A">
        <w:rPr>
          <w:sz w:val="24"/>
          <w:szCs w:val="24"/>
          <w:lang w:val="en-US" w:eastAsia="ru-RU"/>
        </w:rPr>
        <w:t>);</w:t>
      </w:r>
    </w:p>
    <w:p w:rsidR="00997762" w:rsidRPr="008D1F99" w:rsidRDefault="00D2563A" w:rsidP="00E37AB5">
      <w:pPr>
        <w:pStyle w:val="ab"/>
        <w:numPr>
          <w:ilvl w:val="0"/>
          <w:numId w:val="9"/>
        </w:numPr>
        <w:autoSpaceDE w:val="0"/>
        <w:autoSpaceDN w:val="0"/>
        <w:adjustRightInd w:val="0"/>
        <w:ind w:left="0" w:firstLine="709"/>
        <w:contextualSpacing w:val="0"/>
        <w:jc w:val="both"/>
        <w:outlineLvl w:val="1"/>
        <w:rPr>
          <w:sz w:val="24"/>
          <w:szCs w:val="24"/>
          <w:lang w:val="en-US" w:eastAsia="ru-RU"/>
        </w:rPr>
      </w:pPr>
      <w:proofErr w:type="gramStart"/>
      <w:r w:rsidRPr="00F74282">
        <w:rPr>
          <w:sz w:val="24"/>
          <w:szCs w:val="24"/>
          <w:lang w:val="en-US" w:eastAsia="ru-RU"/>
        </w:rPr>
        <w:t>total</w:t>
      </w:r>
      <w:proofErr w:type="gramEnd"/>
      <w:r w:rsidRPr="00F74282">
        <w:rPr>
          <w:sz w:val="24"/>
          <w:szCs w:val="24"/>
          <w:lang w:val="en-US" w:eastAsia="ru-RU"/>
        </w:rPr>
        <w:t xml:space="preserve"> cost</w:t>
      </w:r>
      <w:r>
        <w:rPr>
          <w:sz w:val="24"/>
          <w:szCs w:val="24"/>
          <w:lang w:val="en-US" w:eastAsia="ru-RU"/>
        </w:rPr>
        <w:t>s</w:t>
      </w:r>
      <w:r w:rsidRPr="00F74282">
        <w:rPr>
          <w:sz w:val="24"/>
          <w:szCs w:val="24"/>
          <w:lang w:val="en-US" w:eastAsia="ru-RU"/>
        </w:rPr>
        <w:t xml:space="preserve"> </w:t>
      </w:r>
      <w:r w:rsidR="00997762" w:rsidRPr="008D1F99">
        <w:rPr>
          <w:sz w:val="24"/>
          <w:szCs w:val="24"/>
          <w:lang w:val="en-US" w:eastAsia="ru-RU"/>
        </w:rPr>
        <w:t>(</w:t>
      </w:r>
      <w:proofErr w:type="spellStart"/>
      <w:r w:rsidR="00F55D28" w:rsidRPr="00F74282">
        <w:rPr>
          <w:sz w:val="24"/>
          <w:szCs w:val="24"/>
          <w:lang w:val="en-US" w:eastAsia="ru-RU"/>
        </w:rPr>
        <w:t>mln</w:t>
      </w:r>
      <w:proofErr w:type="spellEnd"/>
      <w:r w:rsidR="00F55D28" w:rsidRPr="008D1F99">
        <w:rPr>
          <w:sz w:val="24"/>
          <w:szCs w:val="24"/>
          <w:lang w:val="en-US" w:eastAsia="ru-RU"/>
        </w:rPr>
        <w:t xml:space="preserve"> </w:t>
      </w:r>
      <w:r w:rsidR="00F55D28" w:rsidRPr="00F74282">
        <w:rPr>
          <w:sz w:val="24"/>
          <w:szCs w:val="24"/>
          <w:lang w:val="en-US" w:eastAsia="ru-RU"/>
        </w:rPr>
        <w:t>R</w:t>
      </w:r>
      <w:r w:rsidR="00F55D28">
        <w:rPr>
          <w:sz w:val="24"/>
          <w:szCs w:val="24"/>
          <w:lang w:val="en-US" w:eastAsia="ru-RU"/>
        </w:rPr>
        <w:t>UB</w:t>
      </w:r>
      <w:r w:rsidR="00F55D28" w:rsidRPr="008D1F99">
        <w:rPr>
          <w:sz w:val="24"/>
          <w:szCs w:val="24"/>
          <w:lang w:val="en-US" w:eastAsia="ru-RU"/>
        </w:rPr>
        <w:t xml:space="preserve">, </w:t>
      </w:r>
      <w:r w:rsidR="00F55D28">
        <w:rPr>
          <w:sz w:val="24"/>
          <w:szCs w:val="24"/>
          <w:lang w:val="en-US" w:eastAsia="ru-RU"/>
        </w:rPr>
        <w:t>without</w:t>
      </w:r>
      <w:r w:rsidR="00F55D28" w:rsidRPr="008D1F99">
        <w:rPr>
          <w:sz w:val="24"/>
          <w:szCs w:val="24"/>
          <w:lang w:val="en-US" w:eastAsia="ru-RU"/>
        </w:rPr>
        <w:t xml:space="preserve"> </w:t>
      </w:r>
      <w:r w:rsidR="00F55D28" w:rsidRPr="00F74282">
        <w:rPr>
          <w:sz w:val="24"/>
          <w:szCs w:val="24"/>
          <w:lang w:val="en-US" w:eastAsia="ru-RU"/>
        </w:rPr>
        <w:t>VAT</w:t>
      </w:r>
      <w:r w:rsidR="00997762" w:rsidRPr="008D1F99">
        <w:rPr>
          <w:sz w:val="24"/>
          <w:szCs w:val="24"/>
          <w:lang w:val="en-US" w:eastAsia="ru-RU"/>
        </w:rPr>
        <w:t>).</w:t>
      </w:r>
    </w:p>
    <w:p w:rsidR="00997762" w:rsidRPr="008D1F99" w:rsidRDefault="00997762" w:rsidP="00997762">
      <w:pPr>
        <w:rPr>
          <w:sz w:val="24"/>
          <w:szCs w:val="24"/>
          <w:lang w:val="en-US" w:eastAsia="ru-RU"/>
        </w:rPr>
      </w:pPr>
    </w:p>
    <w:p w:rsidR="00231ED8" w:rsidRPr="008D1F99" w:rsidRDefault="00DF5E04" w:rsidP="00DF723E">
      <w:pPr>
        <w:ind w:firstLine="709"/>
        <w:jc w:val="both"/>
        <w:rPr>
          <w:sz w:val="24"/>
          <w:szCs w:val="24"/>
          <w:lang w:val="en-US" w:eastAsia="ru-RU"/>
        </w:rPr>
      </w:pPr>
      <w:r w:rsidRPr="004B0EB0">
        <w:rPr>
          <w:sz w:val="24"/>
          <w:szCs w:val="24"/>
          <w:lang w:val="en-US" w:eastAsia="ru-RU"/>
        </w:rPr>
        <w:t>In</w:t>
      </w:r>
      <w:r w:rsidRPr="00D518E9">
        <w:rPr>
          <w:sz w:val="24"/>
          <w:szCs w:val="24"/>
          <w:lang w:val="en-US" w:eastAsia="ru-RU"/>
        </w:rPr>
        <w:t xml:space="preserve"> </w:t>
      </w:r>
      <w:r w:rsidRPr="004B0EB0">
        <w:rPr>
          <w:sz w:val="24"/>
          <w:szCs w:val="24"/>
          <w:lang w:val="en-US" w:eastAsia="ru-RU"/>
        </w:rPr>
        <w:t>the</w:t>
      </w:r>
      <w:r w:rsidRPr="00D518E9">
        <w:rPr>
          <w:sz w:val="24"/>
          <w:szCs w:val="24"/>
          <w:lang w:val="en-US" w:eastAsia="ru-RU"/>
        </w:rPr>
        <w:t xml:space="preserve"> </w:t>
      </w:r>
      <w:r w:rsidRPr="004B0EB0">
        <w:rPr>
          <w:sz w:val="24"/>
          <w:szCs w:val="24"/>
          <w:lang w:val="en-US" w:eastAsia="ru-RU"/>
        </w:rPr>
        <w:t>course</w:t>
      </w:r>
      <w:r w:rsidRPr="00D518E9">
        <w:rPr>
          <w:sz w:val="24"/>
          <w:szCs w:val="24"/>
          <w:lang w:val="en-US" w:eastAsia="ru-RU"/>
        </w:rPr>
        <w:t xml:space="preserve"> </w:t>
      </w:r>
      <w:r w:rsidRPr="004B0EB0">
        <w:rPr>
          <w:sz w:val="24"/>
          <w:szCs w:val="24"/>
          <w:lang w:val="en-US" w:eastAsia="ru-RU"/>
        </w:rPr>
        <w:t>of</w:t>
      </w:r>
      <w:r w:rsidRPr="00D518E9">
        <w:rPr>
          <w:sz w:val="24"/>
          <w:szCs w:val="24"/>
          <w:lang w:val="en-US" w:eastAsia="ru-RU"/>
        </w:rPr>
        <w:t xml:space="preserve"> </w:t>
      </w:r>
      <w:r w:rsidRPr="004B0EB0">
        <w:rPr>
          <w:sz w:val="24"/>
          <w:szCs w:val="24"/>
          <w:lang w:val="en-US" w:eastAsia="ru-RU"/>
        </w:rPr>
        <w:t>economic</w:t>
      </w:r>
      <w:r w:rsidRPr="00D518E9">
        <w:rPr>
          <w:sz w:val="24"/>
          <w:szCs w:val="24"/>
          <w:lang w:val="en-US" w:eastAsia="ru-RU"/>
        </w:rPr>
        <w:t xml:space="preserve"> </w:t>
      </w:r>
      <w:r w:rsidRPr="004B0EB0">
        <w:rPr>
          <w:sz w:val="24"/>
          <w:szCs w:val="24"/>
          <w:lang w:val="en-US" w:eastAsia="ru-RU"/>
        </w:rPr>
        <w:t>activities</w:t>
      </w:r>
      <w:r w:rsidRPr="00D518E9">
        <w:rPr>
          <w:sz w:val="24"/>
          <w:szCs w:val="24"/>
          <w:lang w:val="en-US" w:eastAsia="ru-RU"/>
        </w:rPr>
        <w:t xml:space="preserve"> </w:t>
      </w:r>
      <w:r w:rsidRPr="004B0EB0">
        <w:rPr>
          <w:sz w:val="24"/>
          <w:szCs w:val="24"/>
          <w:lang w:val="en-US" w:eastAsia="ru-RU"/>
        </w:rPr>
        <w:t>IDGC</w:t>
      </w:r>
      <w:r w:rsidRPr="00D518E9">
        <w:rPr>
          <w:sz w:val="24"/>
          <w:szCs w:val="24"/>
          <w:lang w:val="en-US" w:eastAsia="ru-RU"/>
        </w:rPr>
        <w:t xml:space="preserve"> </w:t>
      </w:r>
      <w:r w:rsidRPr="004B0EB0">
        <w:rPr>
          <w:sz w:val="24"/>
          <w:szCs w:val="24"/>
          <w:lang w:val="en-US" w:eastAsia="ru-RU"/>
        </w:rPr>
        <w:t>of</w:t>
      </w:r>
      <w:r w:rsidRPr="00D518E9">
        <w:rPr>
          <w:sz w:val="24"/>
          <w:szCs w:val="24"/>
          <w:lang w:val="en-US" w:eastAsia="ru-RU"/>
        </w:rPr>
        <w:t xml:space="preserve"> </w:t>
      </w:r>
      <w:r w:rsidRPr="004B0EB0">
        <w:rPr>
          <w:sz w:val="24"/>
          <w:szCs w:val="24"/>
          <w:lang w:val="en-US" w:eastAsia="ru-RU"/>
        </w:rPr>
        <w:t>Centre</w:t>
      </w:r>
      <w:r w:rsidRPr="00D518E9">
        <w:rPr>
          <w:sz w:val="24"/>
          <w:szCs w:val="24"/>
          <w:lang w:val="en-US" w:eastAsia="ru-RU"/>
        </w:rPr>
        <w:t xml:space="preserve"> </w:t>
      </w:r>
      <w:r w:rsidRPr="004B0EB0">
        <w:rPr>
          <w:sz w:val="24"/>
          <w:szCs w:val="24"/>
          <w:lang w:val="en-US" w:eastAsia="ru-RU"/>
        </w:rPr>
        <w:t>consumes</w:t>
      </w:r>
      <w:r w:rsidRPr="00D518E9">
        <w:rPr>
          <w:sz w:val="24"/>
          <w:szCs w:val="24"/>
          <w:lang w:val="en-US" w:eastAsia="ru-RU"/>
        </w:rPr>
        <w:t xml:space="preserve"> </w:t>
      </w:r>
      <w:r w:rsidRPr="004B0EB0">
        <w:rPr>
          <w:sz w:val="24"/>
          <w:szCs w:val="24"/>
          <w:lang w:val="en-US" w:eastAsia="ru-RU"/>
        </w:rPr>
        <w:t>for</w:t>
      </w:r>
      <w:r w:rsidRPr="00D518E9">
        <w:rPr>
          <w:sz w:val="24"/>
          <w:szCs w:val="24"/>
          <w:lang w:val="en-US" w:eastAsia="ru-RU"/>
        </w:rPr>
        <w:t xml:space="preserve"> </w:t>
      </w:r>
      <w:r w:rsidRPr="004B0EB0">
        <w:rPr>
          <w:sz w:val="24"/>
          <w:szCs w:val="24"/>
          <w:lang w:val="en-US" w:eastAsia="ru-RU"/>
        </w:rPr>
        <w:t>its</w:t>
      </w:r>
      <w:r w:rsidRPr="00D518E9">
        <w:rPr>
          <w:sz w:val="24"/>
          <w:szCs w:val="24"/>
          <w:lang w:val="en-US" w:eastAsia="ru-RU"/>
        </w:rPr>
        <w:t xml:space="preserve"> </w:t>
      </w:r>
      <w:r w:rsidRPr="004B0EB0">
        <w:rPr>
          <w:sz w:val="24"/>
          <w:szCs w:val="24"/>
          <w:lang w:val="en-US" w:eastAsia="ru-RU"/>
        </w:rPr>
        <w:t>economic</w:t>
      </w:r>
      <w:r w:rsidRPr="00D518E9">
        <w:rPr>
          <w:sz w:val="24"/>
          <w:szCs w:val="24"/>
          <w:lang w:val="en-US" w:eastAsia="ru-RU"/>
        </w:rPr>
        <w:t xml:space="preserve"> </w:t>
      </w:r>
      <w:r w:rsidRPr="004B0EB0">
        <w:rPr>
          <w:sz w:val="24"/>
          <w:szCs w:val="24"/>
          <w:lang w:val="en-US" w:eastAsia="ru-RU"/>
        </w:rPr>
        <w:t>activities</w:t>
      </w:r>
      <w:r w:rsidRPr="00D518E9">
        <w:rPr>
          <w:sz w:val="24"/>
          <w:szCs w:val="24"/>
          <w:lang w:val="en-US" w:eastAsia="ru-RU"/>
        </w:rPr>
        <w:t xml:space="preserve"> </w:t>
      </w:r>
      <w:r w:rsidRPr="004B0EB0">
        <w:rPr>
          <w:sz w:val="24"/>
          <w:szCs w:val="24"/>
          <w:lang w:val="en-US" w:eastAsia="ru-RU"/>
        </w:rPr>
        <w:t>electric</w:t>
      </w:r>
      <w:r w:rsidRPr="00D518E9">
        <w:rPr>
          <w:sz w:val="24"/>
          <w:szCs w:val="24"/>
          <w:lang w:val="en-US" w:eastAsia="ru-RU"/>
        </w:rPr>
        <w:t xml:space="preserve"> </w:t>
      </w:r>
      <w:r w:rsidRPr="004B0EB0">
        <w:rPr>
          <w:sz w:val="24"/>
          <w:szCs w:val="24"/>
          <w:lang w:val="en-US" w:eastAsia="ru-RU"/>
        </w:rPr>
        <w:t>power</w:t>
      </w:r>
      <w:r w:rsidRPr="00D518E9">
        <w:rPr>
          <w:sz w:val="24"/>
          <w:szCs w:val="24"/>
          <w:lang w:val="en-US" w:eastAsia="ru-RU"/>
        </w:rPr>
        <w:t xml:space="preserve">, </w:t>
      </w:r>
      <w:r w:rsidRPr="004B0EB0">
        <w:rPr>
          <w:sz w:val="24"/>
          <w:szCs w:val="24"/>
          <w:lang w:val="en-US" w:eastAsia="ru-RU"/>
        </w:rPr>
        <w:t>heat</w:t>
      </w:r>
      <w:r w:rsidRPr="00D518E9">
        <w:rPr>
          <w:sz w:val="24"/>
          <w:szCs w:val="24"/>
          <w:lang w:val="en-US" w:eastAsia="ru-RU"/>
        </w:rPr>
        <w:t xml:space="preserve"> </w:t>
      </w:r>
      <w:r w:rsidRPr="004B0EB0">
        <w:rPr>
          <w:sz w:val="24"/>
          <w:szCs w:val="24"/>
          <w:lang w:val="en-US" w:eastAsia="ru-RU"/>
        </w:rPr>
        <w:t>energy</w:t>
      </w:r>
      <w:r w:rsidRPr="00D518E9">
        <w:rPr>
          <w:sz w:val="24"/>
          <w:szCs w:val="24"/>
          <w:lang w:val="en-US" w:eastAsia="ru-RU"/>
        </w:rPr>
        <w:t xml:space="preserve"> </w:t>
      </w:r>
      <w:r>
        <w:rPr>
          <w:sz w:val="24"/>
          <w:szCs w:val="24"/>
          <w:lang w:val="en-US" w:eastAsia="ru-RU"/>
        </w:rPr>
        <w:t>and</w:t>
      </w:r>
      <w:r w:rsidRPr="00D518E9">
        <w:rPr>
          <w:sz w:val="24"/>
          <w:szCs w:val="24"/>
          <w:lang w:val="en-US" w:eastAsia="ru-RU"/>
        </w:rPr>
        <w:t xml:space="preserve"> </w:t>
      </w:r>
      <w:r>
        <w:rPr>
          <w:sz w:val="24"/>
          <w:szCs w:val="24"/>
          <w:lang w:val="en-US" w:eastAsia="ru-RU"/>
        </w:rPr>
        <w:t>fuel</w:t>
      </w:r>
      <w:r w:rsidR="00285546" w:rsidRPr="00D518E9">
        <w:rPr>
          <w:sz w:val="24"/>
          <w:szCs w:val="24"/>
          <w:lang w:val="en-US" w:eastAsia="ru-RU"/>
        </w:rPr>
        <w:t xml:space="preserve">: </w:t>
      </w:r>
      <w:r w:rsidR="008D1F99" w:rsidRPr="00F74282">
        <w:rPr>
          <w:sz w:val="24"/>
          <w:szCs w:val="24"/>
          <w:lang w:val="en-US" w:eastAsia="ru-RU"/>
        </w:rPr>
        <w:t>petrol, diesel and gas</w:t>
      </w:r>
      <w:r w:rsidR="00853598" w:rsidRPr="00D518E9">
        <w:rPr>
          <w:sz w:val="24"/>
          <w:szCs w:val="24"/>
          <w:lang w:val="en-US" w:eastAsia="ru-RU"/>
        </w:rPr>
        <w:t>.</w:t>
      </w:r>
      <w:r w:rsidR="00915353" w:rsidRPr="00D518E9">
        <w:rPr>
          <w:sz w:val="24"/>
          <w:szCs w:val="24"/>
          <w:lang w:val="en-US" w:eastAsia="ru-RU"/>
        </w:rPr>
        <w:t xml:space="preserve"> </w:t>
      </w:r>
      <w:r w:rsidR="008D1F99">
        <w:rPr>
          <w:sz w:val="24"/>
          <w:szCs w:val="24"/>
          <w:lang w:val="en-US" w:eastAsia="ru-RU"/>
        </w:rPr>
        <w:t>In</w:t>
      </w:r>
      <w:r w:rsidR="00853598" w:rsidRPr="008D1F99">
        <w:rPr>
          <w:sz w:val="24"/>
          <w:szCs w:val="24"/>
          <w:lang w:val="en-US" w:eastAsia="ru-RU"/>
        </w:rPr>
        <w:t xml:space="preserve"> 201</w:t>
      </w:r>
      <w:r w:rsidR="00F06B7D" w:rsidRPr="008D1F99">
        <w:rPr>
          <w:sz w:val="24"/>
          <w:szCs w:val="24"/>
          <w:lang w:val="en-US" w:eastAsia="ru-RU"/>
        </w:rPr>
        <w:t>4</w:t>
      </w:r>
      <w:r w:rsidR="00853598" w:rsidRPr="008D1F99">
        <w:rPr>
          <w:sz w:val="24"/>
          <w:szCs w:val="24"/>
          <w:lang w:val="en-US" w:eastAsia="ru-RU"/>
        </w:rPr>
        <w:t xml:space="preserve"> </w:t>
      </w:r>
      <w:r w:rsidR="008D1F99" w:rsidRPr="00F74282">
        <w:rPr>
          <w:sz w:val="24"/>
          <w:szCs w:val="24"/>
          <w:lang w:val="en-US" w:eastAsia="ru-RU"/>
        </w:rPr>
        <w:t xml:space="preserve">for its own needs </w:t>
      </w:r>
      <w:r w:rsidR="008D1F99">
        <w:rPr>
          <w:sz w:val="24"/>
          <w:szCs w:val="24"/>
          <w:lang w:val="en-US" w:eastAsia="ru-RU"/>
        </w:rPr>
        <w:t xml:space="preserve">it </w:t>
      </w:r>
      <w:r w:rsidR="008D1F99" w:rsidRPr="00F74282">
        <w:rPr>
          <w:sz w:val="24"/>
          <w:szCs w:val="24"/>
          <w:lang w:val="en-US" w:eastAsia="ru-RU"/>
        </w:rPr>
        <w:t>consumed electricity in the amount of</w:t>
      </w:r>
      <w:r w:rsidR="00853598" w:rsidRPr="008D1F99">
        <w:rPr>
          <w:sz w:val="24"/>
          <w:szCs w:val="24"/>
          <w:lang w:val="en-US" w:eastAsia="ru-RU"/>
        </w:rPr>
        <w:t xml:space="preserve"> </w:t>
      </w:r>
      <w:r w:rsidR="00F06B7D" w:rsidRPr="008D1F99">
        <w:rPr>
          <w:sz w:val="24"/>
          <w:szCs w:val="24"/>
          <w:lang w:val="en-US" w:eastAsia="ru-RU"/>
        </w:rPr>
        <w:t xml:space="preserve">305 980 </w:t>
      </w:r>
      <w:proofErr w:type="spellStart"/>
      <w:r w:rsidR="008F47BD" w:rsidRPr="008D1F99">
        <w:rPr>
          <w:sz w:val="24"/>
          <w:szCs w:val="24"/>
          <w:lang w:val="en-US" w:eastAsia="ru-RU"/>
        </w:rPr>
        <w:t>thous</w:t>
      </w:r>
      <w:proofErr w:type="spellEnd"/>
      <w:r w:rsidR="008F47BD" w:rsidRPr="008D1F99">
        <w:rPr>
          <w:sz w:val="24"/>
          <w:szCs w:val="24"/>
          <w:lang w:val="en-US" w:eastAsia="ru-RU"/>
        </w:rPr>
        <w:t>. RUB</w:t>
      </w:r>
      <w:r w:rsidR="00853598" w:rsidRPr="008D1F99">
        <w:rPr>
          <w:sz w:val="24"/>
          <w:szCs w:val="24"/>
          <w:lang w:val="en-US" w:eastAsia="ru-RU"/>
        </w:rPr>
        <w:t xml:space="preserve">, </w:t>
      </w:r>
      <w:r w:rsidR="008D1F99" w:rsidRPr="00F74282">
        <w:rPr>
          <w:sz w:val="24"/>
          <w:szCs w:val="24"/>
          <w:lang w:val="en-US" w:eastAsia="ru-RU"/>
        </w:rPr>
        <w:t xml:space="preserve">heat energy in the amount of </w:t>
      </w:r>
      <w:r w:rsidR="00F06B7D" w:rsidRPr="008D1F99">
        <w:rPr>
          <w:sz w:val="24"/>
          <w:szCs w:val="24"/>
          <w:lang w:val="en-US" w:eastAsia="ru-RU"/>
        </w:rPr>
        <w:t>68 046</w:t>
      </w:r>
      <w:r w:rsidR="00853598" w:rsidRPr="008D1F99">
        <w:rPr>
          <w:sz w:val="24"/>
          <w:szCs w:val="24"/>
          <w:lang w:val="en-US" w:eastAsia="ru-RU"/>
        </w:rPr>
        <w:t xml:space="preserve"> </w:t>
      </w:r>
      <w:proofErr w:type="spellStart"/>
      <w:r w:rsidR="008F47BD" w:rsidRPr="008D1F99">
        <w:rPr>
          <w:sz w:val="24"/>
          <w:szCs w:val="24"/>
          <w:lang w:val="en-US" w:eastAsia="ru-RU"/>
        </w:rPr>
        <w:t>thous</w:t>
      </w:r>
      <w:proofErr w:type="spellEnd"/>
      <w:r w:rsidR="008F47BD" w:rsidRPr="008D1F99">
        <w:rPr>
          <w:sz w:val="24"/>
          <w:szCs w:val="24"/>
          <w:lang w:val="en-US" w:eastAsia="ru-RU"/>
        </w:rPr>
        <w:t>. RUB</w:t>
      </w:r>
      <w:r w:rsidR="00285546" w:rsidRPr="008D1F99">
        <w:rPr>
          <w:sz w:val="24"/>
          <w:szCs w:val="24"/>
          <w:lang w:val="en-US" w:eastAsia="ru-RU"/>
        </w:rPr>
        <w:t>,</w:t>
      </w:r>
      <w:r w:rsidR="00ED01A0" w:rsidRPr="008D1F99">
        <w:rPr>
          <w:sz w:val="24"/>
          <w:szCs w:val="24"/>
          <w:lang w:val="en-US" w:eastAsia="ru-RU"/>
        </w:rPr>
        <w:t xml:space="preserve"> </w:t>
      </w:r>
      <w:r w:rsidR="008D1F99" w:rsidRPr="00F74282">
        <w:rPr>
          <w:sz w:val="24"/>
          <w:szCs w:val="24"/>
          <w:lang w:val="en-US" w:eastAsia="ru-RU"/>
        </w:rPr>
        <w:t xml:space="preserve">as well as </w:t>
      </w:r>
      <w:r w:rsidR="008D1F99">
        <w:rPr>
          <w:sz w:val="24"/>
          <w:szCs w:val="24"/>
          <w:lang w:val="en-US" w:eastAsia="ru-RU"/>
        </w:rPr>
        <w:t xml:space="preserve">the </w:t>
      </w:r>
      <w:r w:rsidR="008D1F99" w:rsidRPr="00F74282">
        <w:rPr>
          <w:sz w:val="24"/>
          <w:szCs w:val="24"/>
          <w:lang w:val="en-US" w:eastAsia="ru-RU"/>
        </w:rPr>
        <w:t>fuel</w:t>
      </w:r>
      <w:r w:rsidR="008D1F99">
        <w:rPr>
          <w:sz w:val="24"/>
          <w:szCs w:val="24"/>
          <w:lang w:val="en-US" w:eastAsia="ru-RU"/>
        </w:rPr>
        <w:t>:</w:t>
      </w:r>
      <w:r w:rsidR="008D1F99" w:rsidRPr="00F74282">
        <w:rPr>
          <w:sz w:val="24"/>
          <w:szCs w:val="24"/>
          <w:lang w:val="en-US" w:eastAsia="ru-RU"/>
        </w:rPr>
        <w:t xml:space="preserve"> (gasoline, diesel, gas) in the amount of </w:t>
      </w:r>
      <w:r w:rsidR="00285546" w:rsidRPr="008D1F99">
        <w:rPr>
          <w:sz w:val="24"/>
          <w:szCs w:val="24"/>
          <w:lang w:val="en-US" w:eastAsia="ru-RU"/>
        </w:rPr>
        <w:t xml:space="preserve">662 785 </w:t>
      </w:r>
      <w:proofErr w:type="spellStart"/>
      <w:r w:rsidR="008F47BD" w:rsidRPr="008D1F99">
        <w:rPr>
          <w:sz w:val="24"/>
          <w:szCs w:val="24"/>
          <w:lang w:val="en-US" w:eastAsia="ru-RU"/>
        </w:rPr>
        <w:t>thous</w:t>
      </w:r>
      <w:proofErr w:type="spellEnd"/>
      <w:r w:rsidR="008F47BD" w:rsidRPr="008D1F99">
        <w:rPr>
          <w:sz w:val="24"/>
          <w:szCs w:val="24"/>
          <w:lang w:val="en-US" w:eastAsia="ru-RU"/>
        </w:rPr>
        <w:t>. RUB</w:t>
      </w:r>
      <w:r w:rsidR="00D34027">
        <w:rPr>
          <w:sz w:val="24"/>
          <w:szCs w:val="24"/>
          <w:lang w:val="en-US" w:eastAsia="ru-RU"/>
        </w:rPr>
        <w:t>.</w:t>
      </w:r>
      <w:r w:rsidR="00285546" w:rsidRPr="008D1F99">
        <w:rPr>
          <w:sz w:val="24"/>
          <w:szCs w:val="24"/>
          <w:lang w:val="en-US" w:eastAsia="ru-RU"/>
        </w:rPr>
        <w:t xml:space="preserve"> </w:t>
      </w:r>
    </w:p>
    <w:p w:rsidR="00B56C75" w:rsidRPr="008D1F99" w:rsidRDefault="00B56C75" w:rsidP="00DF723E">
      <w:pPr>
        <w:ind w:firstLine="709"/>
        <w:jc w:val="both"/>
        <w:rPr>
          <w:sz w:val="24"/>
          <w:szCs w:val="24"/>
          <w:lang w:val="en-US" w:eastAsia="ru-RU"/>
        </w:rPr>
      </w:pPr>
    </w:p>
    <w:p w:rsidR="0023664B" w:rsidRPr="008D1F99" w:rsidRDefault="0023664B" w:rsidP="00DF723E">
      <w:pPr>
        <w:ind w:firstLine="709"/>
        <w:jc w:val="both"/>
        <w:rPr>
          <w:sz w:val="24"/>
          <w:szCs w:val="24"/>
          <w:lang w:val="en-US" w:eastAsia="ru-RU"/>
        </w:rPr>
      </w:pPr>
    </w:p>
    <w:p w:rsidR="005B5503" w:rsidRPr="00D518E9" w:rsidRDefault="00D518E9" w:rsidP="00C60265">
      <w:pPr>
        <w:pStyle w:val="8"/>
        <w:rPr>
          <w:lang w:val="en-US"/>
        </w:rPr>
      </w:pPr>
      <w:r w:rsidRPr="00631A8B">
        <w:rPr>
          <w:lang w:val="en-US"/>
        </w:rPr>
        <w:t>Information disclosure on the environmental activities of the Company</w:t>
      </w:r>
    </w:p>
    <w:p w:rsidR="005B5503" w:rsidRPr="00D518E9" w:rsidRDefault="005B5503" w:rsidP="005B5503">
      <w:pPr>
        <w:autoSpaceDE w:val="0"/>
        <w:autoSpaceDN w:val="0"/>
        <w:ind w:firstLine="709"/>
        <w:jc w:val="both"/>
        <w:rPr>
          <w:b/>
          <w:bCs/>
          <w:i/>
          <w:iCs/>
          <w:sz w:val="24"/>
          <w:szCs w:val="24"/>
          <w:lang w:val="en-US" w:eastAsia="ru-RU"/>
        </w:rPr>
      </w:pPr>
    </w:p>
    <w:p w:rsidR="0079598B" w:rsidRPr="006D6F39" w:rsidRDefault="006D6F39" w:rsidP="008B3678">
      <w:pPr>
        <w:ind w:firstLine="709"/>
        <w:jc w:val="both"/>
        <w:rPr>
          <w:sz w:val="24"/>
          <w:szCs w:val="24"/>
          <w:lang w:val="en-US" w:eastAsia="ru-RU"/>
        </w:rPr>
      </w:pPr>
      <w:r w:rsidRPr="005A4B76">
        <w:rPr>
          <w:sz w:val="24"/>
          <w:szCs w:val="24"/>
          <w:lang w:val="en-US" w:eastAsia="ru-RU"/>
        </w:rPr>
        <w:t>The costs of environmental protection of IDGC of Centre for 201</w:t>
      </w:r>
      <w:r>
        <w:rPr>
          <w:sz w:val="24"/>
          <w:szCs w:val="24"/>
          <w:lang w:val="en-US" w:eastAsia="ru-RU"/>
        </w:rPr>
        <w:t>4</w:t>
      </w:r>
      <w:r w:rsidRPr="005A4B76">
        <w:rPr>
          <w:sz w:val="24"/>
          <w:szCs w:val="24"/>
          <w:lang w:val="en-US" w:eastAsia="ru-RU"/>
        </w:rPr>
        <w:t xml:space="preserve"> were </w:t>
      </w:r>
      <w:r w:rsidR="00BC03AB" w:rsidRPr="006D6F39">
        <w:rPr>
          <w:sz w:val="24"/>
          <w:szCs w:val="24"/>
          <w:lang w:val="en-US" w:eastAsia="ru-RU"/>
        </w:rPr>
        <w:t>10 859</w:t>
      </w:r>
      <w:proofErr w:type="gramStart"/>
      <w:r w:rsidR="00BC03AB" w:rsidRPr="006D6F39">
        <w:rPr>
          <w:sz w:val="24"/>
          <w:szCs w:val="24"/>
          <w:lang w:val="en-US" w:eastAsia="ru-RU"/>
        </w:rPr>
        <w:t>,20</w:t>
      </w:r>
      <w:proofErr w:type="gramEnd"/>
      <w:r w:rsidR="0079598B" w:rsidRPr="006D6F39">
        <w:rPr>
          <w:sz w:val="24"/>
          <w:szCs w:val="24"/>
          <w:lang w:val="en-US" w:eastAsia="ru-RU"/>
        </w:rPr>
        <w:t xml:space="preserve"> </w:t>
      </w:r>
      <w:proofErr w:type="spellStart"/>
      <w:r w:rsidR="004D7208" w:rsidRPr="006D6F39">
        <w:rPr>
          <w:sz w:val="24"/>
          <w:szCs w:val="24"/>
          <w:lang w:val="en-US" w:eastAsia="ru-RU"/>
        </w:rPr>
        <w:t>thous</w:t>
      </w:r>
      <w:proofErr w:type="spellEnd"/>
      <w:r w:rsidR="004D7208" w:rsidRPr="006D6F39">
        <w:rPr>
          <w:sz w:val="24"/>
          <w:szCs w:val="24"/>
          <w:lang w:val="en-US" w:eastAsia="ru-RU"/>
        </w:rPr>
        <w:t>. RUB</w:t>
      </w:r>
      <w:r w:rsidR="0079598B" w:rsidRPr="006D6F39">
        <w:rPr>
          <w:sz w:val="24"/>
          <w:szCs w:val="24"/>
          <w:lang w:val="en-US" w:eastAsia="ru-RU"/>
        </w:rPr>
        <w:t xml:space="preserve">. </w:t>
      </w:r>
      <w:r w:rsidRPr="005A4B76">
        <w:rPr>
          <w:sz w:val="24"/>
          <w:szCs w:val="24"/>
          <w:lang w:val="en-US" w:eastAsia="ru-RU"/>
        </w:rPr>
        <w:t>The fee for a negative impact on the environment in 201</w:t>
      </w:r>
      <w:r>
        <w:rPr>
          <w:sz w:val="24"/>
          <w:szCs w:val="24"/>
          <w:lang w:val="en-US" w:eastAsia="ru-RU"/>
        </w:rPr>
        <w:t>4</w:t>
      </w:r>
      <w:r w:rsidRPr="005A4B76">
        <w:rPr>
          <w:sz w:val="24"/>
          <w:szCs w:val="24"/>
          <w:lang w:val="en-US" w:eastAsia="ru-RU"/>
        </w:rPr>
        <w:t xml:space="preserve"> was </w:t>
      </w:r>
      <w:r w:rsidR="00BC03AB" w:rsidRPr="006D6F39">
        <w:rPr>
          <w:sz w:val="24"/>
          <w:szCs w:val="24"/>
          <w:lang w:val="en-US" w:eastAsia="ru-RU"/>
        </w:rPr>
        <w:t>6 701</w:t>
      </w:r>
      <w:proofErr w:type="gramStart"/>
      <w:r w:rsidR="00BC03AB" w:rsidRPr="006D6F39">
        <w:rPr>
          <w:sz w:val="24"/>
          <w:szCs w:val="24"/>
          <w:lang w:val="en-US" w:eastAsia="ru-RU"/>
        </w:rPr>
        <w:t>,99</w:t>
      </w:r>
      <w:proofErr w:type="gramEnd"/>
      <w:r w:rsidR="0079598B" w:rsidRPr="006D6F39">
        <w:rPr>
          <w:sz w:val="24"/>
          <w:szCs w:val="24"/>
          <w:lang w:val="en-US" w:eastAsia="ru-RU"/>
        </w:rPr>
        <w:t xml:space="preserve"> </w:t>
      </w:r>
      <w:proofErr w:type="spellStart"/>
      <w:r w:rsidR="004D7208" w:rsidRPr="006D6F39">
        <w:rPr>
          <w:sz w:val="24"/>
          <w:szCs w:val="24"/>
          <w:lang w:val="en-US" w:eastAsia="ru-RU"/>
        </w:rPr>
        <w:t>thous</w:t>
      </w:r>
      <w:proofErr w:type="spellEnd"/>
      <w:r w:rsidR="004D7208" w:rsidRPr="006D6F39">
        <w:rPr>
          <w:sz w:val="24"/>
          <w:szCs w:val="24"/>
          <w:lang w:val="en-US" w:eastAsia="ru-RU"/>
        </w:rPr>
        <w:t>. RUB</w:t>
      </w:r>
      <w:r w:rsidR="0079598B" w:rsidRPr="006D6F39">
        <w:rPr>
          <w:sz w:val="24"/>
          <w:szCs w:val="24"/>
          <w:lang w:val="en-US" w:eastAsia="ru-RU"/>
        </w:rPr>
        <w:t>.</w:t>
      </w:r>
    </w:p>
    <w:p w:rsidR="00B56C75" w:rsidRPr="00261C53" w:rsidRDefault="00261C53" w:rsidP="00B56C75">
      <w:pPr>
        <w:ind w:firstLine="709"/>
        <w:jc w:val="both"/>
        <w:rPr>
          <w:sz w:val="24"/>
          <w:szCs w:val="24"/>
          <w:lang w:val="en-US" w:eastAsia="ru-RU"/>
        </w:rPr>
      </w:pPr>
      <w:r>
        <w:rPr>
          <w:sz w:val="24"/>
          <w:szCs w:val="24"/>
          <w:lang w:val="en-US" w:eastAsia="ru-RU"/>
        </w:rPr>
        <w:t>In</w:t>
      </w:r>
      <w:r w:rsidR="00B56C75" w:rsidRPr="00261C53">
        <w:rPr>
          <w:sz w:val="24"/>
          <w:szCs w:val="24"/>
          <w:lang w:val="en-US" w:eastAsia="ru-RU"/>
        </w:rPr>
        <w:t xml:space="preserve"> 2014</w:t>
      </w:r>
      <w:r w:rsidRPr="00261C53">
        <w:rPr>
          <w:sz w:val="24"/>
          <w:szCs w:val="24"/>
          <w:lang w:val="en-US" w:eastAsia="ru-RU"/>
        </w:rPr>
        <w:t>,</w:t>
      </w:r>
      <w:r w:rsidR="00B56C75" w:rsidRPr="00261C53">
        <w:rPr>
          <w:sz w:val="24"/>
          <w:szCs w:val="24"/>
          <w:lang w:val="en-US" w:eastAsia="ru-RU"/>
        </w:rPr>
        <w:t xml:space="preserve">  </w:t>
      </w:r>
      <w:r w:rsidRPr="00D12464">
        <w:rPr>
          <w:sz w:val="24"/>
          <w:szCs w:val="24"/>
          <w:lang w:val="en-US" w:eastAsia="ru-RU"/>
        </w:rPr>
        <w:t xml:space="preserve">in order to reduce negative impact on the environment and compliance with </w:t>
      </w:r>
      <w:proofErr w:type="spellStart"/>
      <w:r w:rsidRPr="00D12464">
        <w:rPr>
          <w:sz w:val="24"/>
          <w:szCs w:val="24"/>
          <w:lang w:val="en-US" w:eastAsia="ru-RU"/>
        </w:rPr>
        <w:t>SanPiN</w:t>
      </w:r>
      <w:proofErr w:type="spellEnd"/>
      <w:r w:rsidRPr="00D12464">
        <w:rPr>
          <w:sz w:val="24"/>
          <w:szCs w:val="24"/>
          <w:lang w:val="en-US" w:eastAsia="ru-RU"/>
        </w:rPr>
        <w:t xml:space="preserve"> 2.1.7.1322-03 "Hygienic requirements for the placement and disposal of production and consumption waste" in IDGC of Centre</w:t>
      </w:r>
      <w:r>
        <w:rPr>
          <w:sz w:val="24"/>
          <w:szCs w:val="24"/>
          <w:lang w:val="en-US" w:eastAsia="ru-RU"/>
        </w:rPr>
        <w:t>’s</w:t>
      </w:r>
      <w:r w:rsidRPr="00D12464">
        <w:rPr>
          <w:sz w:val="24"/>
          <w:szCs w:val="24"/>
          <w:lang w:val="en-US" w:eastAsia="ru-RU"/>
        </w:rPr>
        <w:t xml:space="preserve"> branches specialized containers for waste collection were purchased, the arrangement of sites for temporary storage (stockpiling) of waste and improvement of surrounding area was performed. Constant monitoring of the accumulation of extremely hazardous waste was performed - used mercury lamps</w:t>
      </w:r>
      <w:r w:rsidR="00B56C75" w:rsidRPr="00261C53">
        <w:rPr>
          <w:sz w:val="24"/>
          <w:szCs w:val="24"/>
          <w:lang w:val="en-US" w:eastAsia="ru-RU"/>
        </w:rPr>
        <w:t>.</w:t>
      </w:r>
    </w:p>
    <w:p w:rsidR="00B56C75" w:rsidRPr="00261C53" w:rsidRDefault="00261C53" w:rsidP="00B56C75">
      <w:pPr>
        <w:ind w:firstLine="709"/>
        <w:jc w:val="both"/>
        <w:rPr>
          <w:sz w:val="24"/>
          <w:szCs w:val="24"/>
          <w:lang w:val="en-US" w:eastAsia="ru-RU"/>
        </w:rPr>
      </w:pPr>
      <w:r w:rsidRPr="009718B3">
        <w:rPr>
          <w:sz w:val="24"/>
          <w:szCs w:val="24"/>
          <w:lang w:val="en-US" w:eastAsia="ru-RU"/>
        </w:rPr>
        <w:t xml:space="preserve">Based on </w:t>
      </w:r>
      <w:proofErr w:type="spellStart"/>
      <w:r w:rsidRPr="009718B3">
        <w:rPr>
          <w:sz w:val="24"/>
          <w:szCs w:val="24"/>
          <w:lang w:val="en-US" w:eastAsia="ru-RU"/>
        </w:rPr>
        <w:t>SanPiN</w:t>
      </w:r>
      <w:proofErr w:type="spellEnd"/>
      <w:r w:rsidRPr="009718B3">
        <w:rPr>
          <w:sz w:val="24"/>
          <w:szCs w:val="24"/>
          <w:lang w:val="en-US" w:eastAsia="ru-RU"/>
        </w:rPr>
        <w:t xml:space="preserve"> 2.2.1/2.1.1.1200-03 "Sanitary protection zones and sanitary classification of enterprises, buildings and other facilities" an instrumental control of emissions at the boundary of the sanitary-protection zones was performed. Based on the studies of air at the boundary of the sanitary-protection zones no excess of allowable concentration levels was detected</w:t>
      </w:r>
      <w:r w:rsidR="00B56C75" w:rsidRPr="00261C53">
        <w:rPr>
          <w:sz w:val="24"/>
          <w:szCs w:val="24"/>
          <w:lang w:val="en-US" w:eastAsia="ru-RU"/>
        </w:rPr>
        <w:t>.</w:t>
      </w:r>
    </w:p>
    <w:p w:rsidR="00B56C75" w:rsidRPr="00261C53" w:rsidRDefault="00261C53" w:rsidP="00B56C75">
      <w:pPr>
        <w:ind w:firstLine="709"/>
        <w:jc w:val="both"/>
        <w:rPr>
          <w:sz w:val="24"/>
          <w:szCs w:val="24"/>
          <w:lang w:val="en-US" w:eastAsia="ru-RU"/>
        </w:rPr>
      </w:pPr>
      <w:r w:rsidRPr="009718B3">
        <w:rPr>
          <w:sz w:val="24"/>
          <w:szCs w:val="24"/>
          <w:lang w:val="en-US" w:eastAsia="ru-RU"/>
        </w:rPr>
        <w:t xml:space="preserve">Pursuant to Federal Law </w:t>
      </w:r>
      <w:r w:rsidR="00136533" w:rsidRPr="00F74282">
        <w:rPr>
          <w:sz w:val="24"/>
          <w:szCs w:val="24"/>
          <w:lang w:val="en-US" w:eastAsia="ru-RU"/>
        </w:rPr>
        <w:t>№</w:t>
      </w:r>
      <w:r w:rsidRPr="009718B3">
        <w:rPr>
          <w:sz w:val="24"/>
          <w:szCs w:val="24"/>
          <w:lang w:val="en-US" w:eastAsia="ru-RU"/>
        </w:rPr>
        <w:t xml:space="preserve"> 7-FZ of 10.01.2002 instrumental monitoring of compliance with established standards of maximum permissible emissions was arranged</w:t>
      </w:r>
      <w:r w:rsidR="00B56C75" w:rsidRPr="00261C53">
        <w:rPr>
          <w:sz w:val="24"/>
          <w:szCs w:val="24"/>
          <w:lang w:val="en-US" w:eastAsia="ru-RU"/>
        </w:rPr>
        <w:t>.</w:t>
      </w:r>
    </w:p>
    <w:p w:rsidR="00B56C75" w:rsidRPr="00136533" w:rsidRDefault="00136533" w:rsidP="00B56C75">
      <w:pPr>
        <w:ind w:firstLine="709"/>
        <w:jc w:val="both"/>
        <w:rPr>
          <w:sz w:val="24"/>
          <w:szCs w:val="24"/>
          <w:lang w:val="en-US" w:eastAsia="ru-RU"/>
        </w:rPr>
      </w:pPr>
      <w:r w:rsidRPr="009718B3">
        <w:rPr>
          <w:sz w:val="24"/>
          <w:szCs w:val="24"/>
          <w:lang w:val="en-US" w:eastAsia="ru-RU"/>
        </w:rPr>
        <w:t xml:space="preserve">To comply with Federal Law </w:t>
      </w:r>
      <w:r w:rsidRPr="00F74282">
        <w:rPr>
          <w:sz w:val="24"/>
          <w:szCs w:val="24"/>
          <w:lang w:val="en-US" w:eastAsia="ru-RU"/>
        </w:rPr>
        <w:t>№</w:t>
      </w:r>
      <w:r w:rsidRPr="009718B3">
        <w:rPr>
          <w:sz w:val="24"/>
          <w:szCs w:val="24"/>
          <w:lang w:val="en-US" w:eastAsia="ru-RU"/>
        </w:rPr>
        <w:t xml:space="preserve"> 89-FZ of 24.06.1998 "On the Production and Consumption Waste" and creating an analytical framework based on instrumental measurements and laboratory studies for monitoring of compliance with established MPE, MPD and monitoring in temporary storage (accumulation) waste was organized and performed within</w:t>
      </w:r>
      <w:r w:rsidR="00B56C75" w:rsidRPr="00136533">
        <w:rPr>
          <w:sz w:val="24"/>
          <w:szCs w:val="24"/>
          <w:lang w:val="en-US" w:eastAsia="ru-RU"/>
        </w:rPr>
        <w:t>:</w:t>
      </w:r>
    </w:p>
    <w:p w:rsidR="00B56C75" w:rsidRPr="00C43E03" w:rsidRDefault="00C43E03" w:rsidP="00E37AB5">
      <w:pPr>
        <w:pStyle w:val="ab"/>
        <w:numPr>
          <w:ilvl w:val="0"/>
          <w:numId w:val="8"/>
        </w:numPr>
        <w:tabs>
          <w:tab w:val="left" w:pos="709"/>
          <w:tab w:val="left" w:pos="993"/>
        </w:tabs>
        <w:ind w:left="0" w:firstLine="709"/>
        <w:jc w:val="both"/>
        <w:rPr>
          <w:sz w:val="24"/>
          <w:szCs w:val="24"/>
          <w:lang w:val="en-US" w:eastAsia="ru-RU"/>
        </w:rPr>
      </w:pPr>
      <w:r w:rsidRPr="009718B3">
        <w:rPr>
          <w:sz w:val="24"/>
          <w:szCs w:val="24"/>
          <w:lang w:val="en-US" w:eastAsia="ru-RU"/>
        </w:rPr>
        <w:t>Air control of working zone in the temporary storage of waste</w:t>
      </w:r>
      <w:r w:rsidR="00B56C75" w:rsidRPr="00C43E03">
        <w:rPr>
          <w:sz w:val="24"/>
          <w:szCs w:val="24"/>
          <w:lang w:val="en-US" w:eastAsia="ru-RU"/>
        </w:rPr>
        <w:t>;</w:t>
      </w:r>
    </w:p>
    <w:p w:rsidR="00B56C75" w:rsidRPr="00F11B9D" w:rsidRDefault="00C43E03" w:rsidP="00E37AB5">
      <w:pPr>
        <w:pStyle w:val="ab"/>
        <w:numPr>
          <w:ilvl w:val="0"/>
          <w:numId w:val="8"/>
        </w:numPr>
        <w:tabs>
          <w:tab w:val="left" w:pos="709"/>
          <w:tab w:val="left" w:pos="993"/>
        </w:tabs>
        <w:ind w:left="0" w:firstLine="709"/>
        <w:jc w:val="both"/>
        <w:rPr>
          <w:sz w:val="24"/>
          <w:szCs w:val="24"/>
          <w:lang w:eastAsia="ru-RU"/>
        </w:rPr>
      </w:pPr>
      <w:r w:rsidRPr="009718B3">
        <w:rPr>
          <w:sz w:val="24"/>
          <w:szCs w:val="24"/>
          <w:lang w:val="en-US" w:eastAsia="ru-RU"/>
        </w:rPr>
        <w:lastRenderedPageBreak/>
        <w:t xml:space="preserve">Monitoring the </w:t>
      </w:r>
      <w:r>
        <w:rPr>
          <w:sz w:val="24"/>
          <w:szCs w:val="24"/>
          <w:lang w:val="en-US" w:eastAsia="ru-RU"/>
        </w:rPr>
        <w:t>level</w:t>
      </w:r>
      <w:r w:rsidRPr="009718B3">
        <w:rPr>
          <w:sz w:val="24"/>
          <w:szCs w:val="24"/>
          <w:lang w:val="en-US" w:eastAsia="ru-RU"/>
        </w:rPr>
        <w:t xml:space="preserve"> of soil contamination</w:t>
      </w:r>
      <w:r w:rsidR="00B56C75" w:rsidRPr="00F11B9D">
        <w:rPr>
          <w:sz w:val="24"/>
          <w:szCs w:val="24"/>
          <w:lang w:eastAsia="ru-RU"/>
        </w:rPr>
        <w:t>;</w:t>
      </w:r>
    </w:p>
    <w:p w:rsidR="00B56C75" w:rsidRPr="00C43E03" w:rsidRDefault="00C43E03" w:rsidP="00E37AB5">
      <w:pPr>
        <w:pStyle w:val="ab"/>
        <w:numPr>
          <w:ilvl w:val="0"/>
          <w:numId w:val="8"/>
        </w:numPr>
        <w:tabs>
          <w:tab w:val="left" w:pos="709"/>
          <w:tab w:val="left" w:pos="993"/>
        </w:tabs>
        <w:ind w:left="0" w:firstLine="709"/>
        <w:jc w:val="both"/>
        <w:rPr>
          <w:sz w:val="24"/>
          <w:szCs w:val="24"/>
          <w:lang w:val="en-US" w:eastAsia="ru-RU"/>
        </w:rPr>
      </w:pPr>
      <w:r w:rsidRPr="009718B3">
        <w:rPr>
          <w:sz w:val="24"/>
          <w:szCs w:val="24"/>
          <w:lang w:val="en-US" w:eastAsia="ru-RU"/>
        </w:rPr>
        <w:t>Laboratory analysis of microbiological, radiological and chemical parameters of groundwater and effluent</w:t>
      </w:r>
      <w:r w:rsidR="00B56C75" w:rsidRPr="00C43E03">
        <w:rPr>
          <w:sz w:val="24"/>
          <w:szCs w:val="24"/>
          <w:lang w:val="en-US" w:eastAsia="ru-RU"/>
        </w:rPr>
        <w:t>.</w:t>
      </w:r>
    </w:p>
    <w:p w:rsidR="00292299" w:rsidRPr="00C43E03" w:rsidRDefault="00292299" w:rsidP="005262EC">
      <w:pPr>
        <w:jc w:val="both"/>
        <w:rPr>
          <w:sz w:val="24"/>
          <w:szCs w:val="24"/>
          <w:lang w:val="en-US" w:eastAsia="ru-RU"/>
        </w:rPr>
      </w:pPr>
    </w:p>
    <w:p w:rsidR="00B56C75" w:rsidRPr="002A44B2" w:rsidRDefault="000259AD" w:rsidP="00B56C75">
      <w:pPr>
        <w:ind w:firstLine="709"/>
        <w:jc w:val="both"/>
        <w:rPr>
          <w:sz w:val="24"/>
          <w:szCs w:val="24"/>
          <w:lang w:val="en-US" w:eastAsia="ru-RU"/>
        </w:rPr>
      </w:pPr>
      <w:r w:rsidRPr="0068259F">
        <w:rPr>
          <w:sz w:val="24"/>
          <w:szCs w:val="24"/>
          <w:lang w:val="en-US" w:eastAsia="ru-RU"/>
        </w:rPr>
        <w:t>As</w:t>
      </w:r>
      <w:r w:rsidRPr="002A44B2">
        <w:rPr>
          <w:sz w:val="24"/>
          <w:szCs w:val="24"/>
          <w:lang w:val="en-US" w:eastAsia="ru-RU"/>
        </w:rPr>
        <w:t xml:space="preserve"> </w:t>
      </w:r>
      <w:r w:rsidRPr="0068259F">
        <w:rPr>
          <w:sz w:val="24"/>
          <w:szCs w:val="24"/>
          <w:lang w:val="en-US" w:eastAsia="ru-RU"/>
        </w:rPr>
        <w:t>part</w:t>
      </w:r>
      <w:r w:rsidRPr="002A44B2">
        <w:rPr>
          <w:sz w:val="24"/>
          <w:szCs w:val="24"/>
          <w:lang w:val="en-US" w:eastAsia="ru-RU"/>
        </w:rPr>
        <w:t xml:space="preserve"> </w:t>
      </w:r>
      <w:r w:rsidRPr="0068259F">
        <w:rPr>
          <w:sz w:val="24"/>
          <w:szCs w:val="24"/>
          <w:lang w:val="en-US" w:eastAsia="ru-RU"/>
        </w:rPr>
        <w:t>of</w:t>
      </w:r>
      <w:r w:rsidRPr="002A44B2">
        <w:rPr>
          <w:sz w:val="24"/>
          <w:szCs w:val="24"/>
          <w:lang w:val="en-US" w:eastAsia="ru-RU"/>
        </w:rPr>
        <w:t xml:space="preserve"> </w:t>
      </w:r>
      <w:r w:rsidRPr="0068259F">
        <w:rPr>
          <w:sz w:val="24"/>
          <w:szCs w:val="24"/>
          <w:lang w:val="en-US" w:eastAsia="ru-RU"/>
        </w:rPr>
        <w:t>the</w:t>
      </w:r>
      <w:r w:rsidRPr="002A44B2">
        <w:rPr>
          <w:sz w:val="24"/>
          <w:szCs w:val="24"/>
          <w:lang w:val="en-US" w:eastAsia="ru-RU"/>
        </w:rPr>
        <w:t xml:space="preserve"> </w:t>
      </w:r>
      <w:r w:rsidRPr="0068259F">
        <w:rPr>
          <w:sz w:val="24"/>
          <w:szCs w:val="24"/>
          <w:lang w:val="en-US" w:eastAsia="ru-RU"/>
        </w:rPr>
        <w:t>implementation</w:t>
      </w:r>
      <w:r w:rsidRPr="002A44B2">
        <w:rPr>
          <w:sz w:val="24"/>
          <w:szCs w:val="24"/>
          <w:lang w:val="en-US" w:eastAsia="ru-RU"/>
        </w:rPr>
        <w:t xml:space="preserve"> </w:t>
      </w:r>
      <w:r w:rsidRPr="0068259F">
        <w:rPr>
          <w:sz w:val="24"/>
          <w:szCs w:val="24"/>
          <w:lang w:val="en-US" w:eastAsia="ru-RU"/>
        </w:rPr>
        <w:t>of</w:t>
      </w:r>
      <w:r w:rsidRPr="002A44B2">
        <w:rPr>
          <w:sz w:val="24"/>
          <w:szCs w:val="24"/>
          <w:lang w:val="en-US" w:eastAsia="ru-RU"/>
        </w:rPr>
        <w:t xml:space="preserve"> </w:t>
      </w:r>
      <w:r w:rsidRPr="0068259F">
        <w:rPr>
          <w:sz w:val="24"/>
          <w:szCs w:val="24"/>
          <w:lang w:val="en-US" w:eastAsia="ru-RU"/>
        </w:rPr>
        <w:t>its</w:t>
      </w:r>
      <w:r w:rsidRPr="002A44B2">
        <w:rPr>
          <w:sz w:val="24"/>
          <w:szCs w:val="24"/>
          <w:lang w:val="en-US" w:eastAsia="ru-RU"/>
        </w:rPr>
        <w:t xml:space="preserve"> </w:t>
      </w:r>
      <w:r w:rsidRPr="0068259F">
        <w:rPr>
          <w:sz w:val="24"/>
          <w:szCs w:val="24"/>
          <w:lang w:val="en-US" w:eastAsia="ru-RU"/>
        </w:rPr>
        <w:t>environmental</w:t>
      </w:r>
      <w:r w:rsidRPr="002A44B2">
        <w:rPr>
          <w:sz w:val="24"/>
          <w:szCs w:val="24"/>
          <w:lang w:val="en-US" w:eastAsia="ru-RU"/>
        </w:rPr>
        <w:t xml:space="preserve"> </w:t>
      </w:r>
      <w:r w:rsidRPr="0068259F">
        <w:rPr>
          <w:sz w:val="24"/>
          <w:szCs w:val="24"/>
          <w:lang w:val="en-US" w:eastAsia="ru-RU"/>
        </w:rPr>
        <w:t>policy</w:t>
      </w:r>
      <w:r w:rsidRPr="002A44B2">
        <w:rPr>
          <w:sz w:val="24"/>
          <w:szCs w:val="24"/>
          <w:lang w:val="en-US" w:eastAsia="ru-RU"/>
        </w:rPr>
        <w:t xml:space="preserve"> </w:t>
      </w:r>
      <w:r w:rsidRPr="0068259F">
        <w:rPr>
          <w:sz w:val="24"/>
          <w:szCs w:val="24"/>
          <w:lang w:val="en-US" w:eastAsia="ru-RU"/>
        </w:rPr>
        <w:t>in</w:t>
      </w:r>
      <w:r w:rsidRPr="002A44B2">
        <w:rPr>
          <w:sz w:val="24"/>
          <w:szCs w:val="24"/>
          <w:lang w:val="en-US" w:eastAsia="ru-RU"/>
        </w:rPr>
        <w:t xml:space="preserve"> </w:t>
      </w:r>
      <w:r w:rsidR="00B56C75" w:rsidRPr="002A44B2">
        <w:rPr>
          <w:sz w:val="24"/>
          <w:szCs w:val="24"/>
          <w:lang w:val="en-US" w:eastAsia="ru-RU"/>
        </w:rPr>
        <w:t xml:space="preserve">2014 </w:t>
      </w:r>
      <w:r w:rsidR="002A44B2" w:rsidRPr="00E46AA4">
        <w:rPr>
          <w:sz w:val="24"/>
          <w:szCs w:val="24"/>
          <w:lang w:val="en-US" w:eastAsia="ru-RU"/>
        </w:rPr>
        <w:t xml:space="preserve">substation equipment </w:t>
      </w:r>
      <w:r w:rsidR="002A44B2">
        <w:rPr>
          <w:sz w:val="24"/>
          <w:szCs w:val="24"/>
          <w:lang w:val="en-US" w:eastAsia="ru-RU"/>
        </w:rPr>
        <w:t>was</w:t>
      </w:r>
      <w:r w:rsidR="002A44B2" w:rsidRPr="00E46AA4">
        <w:rPr>
          <w:sz w:val="24"/>
          <w:szCs w:val="24"/>
          <w:lang w:val="en-US" w:eastAsia="ru-RU"/>
        </w:rPr>
        <w:t xml:space="preserve"> maint</w:t>
      </w:r>
      <w:r w:rsidR="002A44B2">
        <w:rPr>
          <w:sz w:val="24"/>
          <w:szCs w:val="24"/>
          <w:lang w:val="en-US" w:eastAsia="ru-RU"/>
        </w:rPr>
        <w:t xml:space="preserve">ained </w:t>
      </w:r>
      <w:r w:rsidR="002A44B2" w:rsidRPr="00E46AA4">
        <w:rPr>
          <w:sz w:val="24"/>
          <w:szCs w:val="24"/>
          <w:lang w:val="en-US" w:eastAsia="ru-RU"/>
        </w:rPr>
        <w:t>and repair</w:t>
      </w:r>
      <w:r w:rsidR="002A44B2">
        <w:rPr>
          <w:sz w:val="24"/>
          <w:szCs w:val="24"/>
          <w:lang w:val="en-US" w:eastAsia="ru-RU"/>
        </w:rPr>
        <w:t>ed</w:t>
      </w:r>
      <w:r w:rsidR="002A44B2" w:rsidRPr="00E46AA4">
        <w:rPr>
          <w:sz w:val="24"/>
          <w:szCs w:val="24"/>
          <w:lang w:val="en-US" w:eastAsia="ru-RU"/>
        </w:rPr>
        <w:t xml:space="preserve">, including replacement of oil switches with vacuum and overhaul of oil circuit breakers. </w:t>
      </w:r>
      <w:r w:rsidR="002A44B2">
        <w:rPr>
          <w:sz w:val="24"/>
          <w:szCs w:val="24"/>
          <w:lang w:val="en-US" w:eastAsia="ru-RU"/>
        </w:rPr>
        <w:t>O</w:t>
      </w:r>
      <w:r w:rsidR="002A44B2" w:rsidRPr="00E46AA4">
        <w:rPr>
          <w:sz w:val="24"/>
          <w:szCs w:val="24"/>
          <w:lang w:val="en-US" w:eastAsia="ru-RU"/>
        </w:rPr>
        <w:t xml:space="preserve">il receivers of transformers, drainage devices </w:t>
      </w:r>
      <w:r w:rsidR="002A44B2">
        <w:rPr>
          <w:sz w:val="24"/>
          <w:szCs w:val="24"/>
          <w:lang w:val="en-US" w:eastAsia="ru-RU"/>
        </w:rPr>
        <w:t>were a</w:t>
      </w:r>
      <w:r w:rsidR="002A44B2" w:rsidRPr="00E46AA4">
        <w:rPr>
          <w:sz w:val="24"/>
          <w:szCs w:val="24"/>
          <w:lang w:val="en-US" w:eastAsia="ru-RU"/>
        </w:rPr>
        <w:t>lso repair</w:t>
      </w:r>
      <w:r w:rsidR="002A44B2">
        <w:rPr>
          <w:sz w:val="24"/>
          <w:szCs w:val="24"/>
          <w:lang w:val="en-US" w:eastAsia="ru-RU"/>
        </w:rPr>
        <w:t xml:space="preserve">ed </w:t>
      </w:r>
      <w:r w:rsidR="002A44B2" w:rsidRPr="00E46AA4">
        <w:rPr>
          <w:sz w:val="24"/>
          <w:szCs w:val="24"/>
          <w:lang w:val="en-US" w:eastAsia="ru-RU"/>
        </w:rPr>
        <w:t xml:space="preserve">and gravel bedding under them </w:t>
      </w:r>
      <w:r w:rsidR="002A44B2">
        <w:rPr>
          <w:sz w:val="24"/>
          <w:szCs w:val="24"/>
          <w:lang w:val="en-US" w:eastAsia="ru-RU"/>
        </w:rPr>
        <w:t xml:space="preserve">was </w:t>
      </w:r>
      <w:r w:rsidR="002A44B2" w:rsidRPr="00E46AA4">
        <w:rPr>
          <w:sz w:val="24"/>
          <w:szCs w:val="24"/>
          <w:lang w:val="en-US" w:eastAsia="ru-RU"/>
        </w:rPr>
        <w:t>replac</w:t>
      </w:r>
      <w:r w:rsidR="002A44B2">
        <w:rPr>
          <w:sz w:val="24"/>
          <w:szCs w:val="24"/>
          <w:lang w:val="en-US" w:eastAsia="ru-RU"/>
        </w:rPr>
        <w:t>ed</w:t>
      </w:r>
      <w:r w:rsidR="00B56C75" w:rsidRPr="002A44B2">
        <w:rPr>
          <w:sz w:val="24"/>
          <w:szCs w:val="24"/>
          <w:lang w:val="en-US" w:eastAsia="ru-RU"/>
        </w:rPr>
        <w:t>.</w:t>
      </w:r>
    </w:p>
    <w:p w:rsidR="00B56C75" w:rsidRPr="002A44B2" w:rsidRDefault="00B56C75" w:rsidP="00B56C75">
      <w:pPr>
        <w:ind w:firstLine="709"/>
        <w:jc w:val="both"/>
        <w:rPr>
          <w:sz w:val="24"/>
          <w:szCs w:val="24"/>
          <w:lang w:val="en-US" w:eastAsia="ru-RU"/>
        </w:rPr>
      </w:pPr>
    </w:p>
    <w:p w:rsidR="00B56C75" w:rsidRPr="00505E1F" w:rsidRDefault="00B56C75" w:rsidP="00B56C75">
      <w:pPr>
        <w:jc w:val="both"/>
        <w:rPr>
          <w:sz w:val="24"/>
          <w:szCs w:val="24"/>
          <w:lang w:val="en-US" w:eastAsia="ru-RU"/>
        </w:rPr>
      </w:pPr>
      <w:r w:rsidRPr="002A44B2">
        <w:rPr>
          <w:sz w:val="24"/>
          <w:szCs w:val="24"/>
          <w:lang w:val="en-US" w:eastAsia="ru-RU"/>
        </w:rPr>
        <w:tab/>
      </w:r>
      <w:r w:rsidR="00505E1F" w:rsidRPr="00E46AA4">
        <w:rPr>
          <w:sz w:val="24"/>
          <w:szCs w:val="24"/>
          <w:lang w:val="en-US" w:eastAsia="ru-RU"/>
        </w:rPr>
        <w:t xml:space="preserve">In two branches the work on decommissioning and disposal of equipment containing PCBs, as well as </w:t>
      </w:r>
      <w:r w:rsidR="00505E1F">
        <w:rPr>
          <w:sz w:val="24"/>
          <w:szCs w:val="24"/>
          <w:lang w:val="en-US" w:eastAsia="ru-RU"/>
        </w:rPr>
        <w:t>decommissioning</w:t>
      </w:r>
      <w:r w:rsidR="00505E1F" w:rsidRPr="00E46AA4">
        <w:rPr>
          <w:sz w:val="24"/>
          <w:szCs w:val="24"/>
          <w:lang w:val="en-US" w:eastAsia="ru-RU"/>
        </w:rPr>
        <w:t xml:space="preserve"> of o</w:t>
      </w:r>
      <w:r w:rsidR="00505E1F">
        <w:rPr>
          <w:sz w:val="24"/>
          <w:szCs w:val="24"/>
          <w:lang w:val="en-US" w:eastAsia="ru-RU"/>
        </w:rPr>
        <w:t xml:space="preserve">ut-dated motor </w:t>
      </w:r>
      <w:r w:rsidR="00505E1F" w:rsidRPr="00E46AA4">
        <w:rPr>
          <w:sz w:val="24"/>
          <w:szCs w:val="24"/>
          <w:lang w:val="en-US" w:eastAsia="ru-RU"/>
        </w:rPr>
        <w:t>vehicles</w:t>
      </w:r>
      <w:r w:rsidR="00505E1F">
        <w:rPr>
          <w:sz w:val="24"/>
          <w:szCs w:val="24"/>
          <w:lang w:val="en-US" w:eastAsia="ru-RU"/>
        </w:rPr>
        <w:t xml:space="preserve"> was performed</w:t>
      </w:r>
      <w:r w:rsidRPr="00505E1F">
        <w:rPr>
          <w:sz w:val="24"/>
          <w:szCs w:val="24"/>
          <w:lang w:val="en-US" w:eastAsia="ru-RU"/>
        </w:rPr>
        <w:t>.</w:t>
      </w:r>
    </w:p>
    <w:p w:rsidR="00B56C75" w:rsidRPr="005A23D2" w:rsidRDefault="00B56C75" w:rsidP="00B56C75">
      <w:pPr>
        <w:jc w:val="both"/>
        <w:rPr>
          <w:sz w:val="24"/>
          <w:szCs w:val="24"/>
          <w:lang w:val="en-US" w:eastAsia="ru-RU"/>
        </w:rPr>
      </w:pPr>
      <w:r w:rsidRPr="00505E1F">
        <w:rPr>
          <w:sz w:val="24"/>
          <w:szCs w:val="24"/>
          <w:lang w:val="en-US" w:eastAsia="ru-RU"/>
        </w:rPr>
        <w:tab/>
      </w:r>
      <w:r w:rsidR="005A23D2" w:rsidRPr="00E46AA4">
        <w:rPr>
          <w:sz w:val="24"/>
          <w:szCs w:val="24"/>
          <w:lang w:val="en-US" w:eastAsia="ru-RU"/>
        </w:rPr>
        <w:t xml:space="preserve">Polychlorinated biphenyls (PCBs) </w:t>
      </w:r>
      <w:r w:rsidR="005A23D2">
        <w:rPr>
          <w:sz w:val="24"/>
          <w:szCs w:val="24"/>
          <w:lang w:val="en-US" w:eastAsia="ru-RU"/>
        </w:rPr>
        <w:t>are</w:t>
      </w:r>
      <w:r w:rsidR="005A23D2" w:rsidRPr="00E46AA4">
        <w:rPr>
          <w:sz w:val="24"/>
          <w:szCs w:val="24"/>
          <w:lang w:val="en-US" w:eastAsia="ru-RU"/>
        </w:rPr>
        <w:t xml:space="preserve"> a group of high-risk to humans and the environment compounds for which in recent </w:t>
      </w:r>
      <w:proofErr w:type="gramStart"/>
      <w:r w:rsidR="005A23D2" w:rsidRPr="00E46AA4">
        <w:rPr>
          <w:sz w:val="24"/>
          <w:szCs w:val="24"/>
          <w:lang w:val="en-US" w:eastAsia="ru-RU"/>
        </w:rPr>
        <w:t>years</w:t>
      </w:r>
      <w:proofErr w:type="gramEnd"/>
      <w:r w:rsidR="005A23D2" w:rsidRPr="00E46AA4">
        <w:rPr>
          <w:sz w:val="24"/>
          <w:szCs w:val="24"/>
          <w:lang w:val="en-US" w:eastAsia="ru-RU"/>
        </w:rPr>
        <w:t xml:space="preserve"> considerable efforts to control both </w:t>
      </w:r>
      <w:r w:rsidR="005A23D2">
        <w:rPr>
          <w:sz w:val="24"/>
          <w:szCs w:val="24"/>
          <w:lang w:val="en-US" w:eastAsia="ru-RU"/>
        </w:rPr>
        <w:t xml:space="preserve">at </w:t>
      </w:r>
      <w:r w:rsidR="005A23D2" w:rsidRPr="00E46AA4">
        <w:rPr>
          <w:sz w:val="24"/>
          <w:szCs w:val="24"/>
          <w:lang w:val="en-US" w:eastAsia="ru-RU"/>
        </w:rPr>
        <w:t>the national and international level ha</w:t>
      </w:r>
      <w:r w:rsidR="005A23D2">
        <w:rPr>
          <w:sz w:val="24"/>
          <w:szCs w:val="24"/>
          <w:lang w:val="en-US" w:eastAsia="ru-RU"/>
        </w:rPr>
        <w:t>ve</w:t>
      </w:r>
      <w:r w:rsidR="005A23D2" w:rsidRPr="00E46AA4">
        <w:rPr>
          <w:sz w:val="24"/>
          <w:szCs w:val="24"/>
          <w:lang w:val="en-US" w:eastAsia="ru-RU"/>
        </w:rPr>
        <w:t xml:space="preserve"> </w:t>
      </w:r>
      <w:r w:rsidR="005A23D2">
        <w:rPr>
          <w:sz w:val="24"/>
          <w:szCs w:val="24"/>
          <w:lang w:val="en-US" w:eastAsia="ru-RU"/>
        </w:rPr>
        <w:t xml:space="preserve">been </w:t>
      </w:r>
      <w:r w:rsidR="005A23D2" w:rsidRPr="00E46AA4">
        <w:rPr>
          <w:sz w:val="24"/>
          <w:szCs w:val="24"/>
          <w:lang w:val="en-US" w:eastAsia="ru-RU"/>
        </w:rPr>
        <w:t xml:space="preserve">made. PCBs are included in the list of twelve priority POPs, </w:t>
      </w:r>
      <w:r w:rsidR="005A23D2">
        <w:rPr>
          <w:sz w:val="24"/>
          <w:szCs w:val="24"/>
          <w:lang w:val="en-US" w:eastAsia="ru-RU"/>
        </w:rPr>
        <w:t xml:space="preserve">which </w:t>
      </w:r>
      <w:r w:rsidR="005A23D2" w:rsidRPr="00E46AA4">
        <w:rPr>
          <w:sz w:val="24"/>
          <w:szCs w:val="24"/>
          <w:lang w:val="en-US" w:eastAsia="ru-RU"/>
        </w:rPr>
        <w:t xml:space="preserve">under the Stockholm Convention "should be banned for use, their production should be stopped, and all stocks </w:t>
      </w:r>
      <w:r w:rsidR="005A23D2">
        <w:rPr>
          <w:sz w:val="24"/>
          <w:szCs w:val="24"/>
          <w:lang w:val="en-US" w:eastAsia="ru-RU"/>
        </w:rPr>
        <w:t>must be</w:t>
      </w:r>
      <w:r w:rsidR="005A23D2" w:rsidRPr="00E46AA4">
        <w:rPr>
          <w:sz w:val="24"/>
          <w:szCs w:val="24"/>
          <w:lang w:val="en-US" w:eastAsia="ru-RU"/>
        </w:rPr>
        <w:t xml:space="preserve"> destroyed"</w:t>
      </w:r>
      <w:r w:rsidRPr="005A23D2">
        <w:rPr>
          <w:sz w:val="24"/>
          <w:szCs w:val="24"/>
          <w:lang w:val="en-US" w:eastAsia="ru-RU"/>
        </w:rPr>
        <w:t xml:space="preserve">. </w:t>
      </w:r>
    </w:p>
    <w:p w:rsidR="0042539D" w:rsidRPr="005A23D2" w:rsidRDefault="00B56C75" w:rsidP="004C5C63">
      <w:pPr>
        <w:jc w:val="both"/>
        <w:rPr>
          <w:sz w:val="24"/>
          <w:szCs w:val="24"/>
          <w:lang w:val="en-US" w:eastAsia="ru-RU"/>
        </w:rPr>
      </w:pPr>
      <w:r w:rsidRPr="005A23D2">
        <w:rPr>
          <w:sz w:val="24"/>
          <w:szCs w:val="24"/>
          <w:lang w:val="en-US" w:eastAsia="ru-RU"/>
        </w:rPr>
        <w:tab/>
        <w:t xml:space="preserve"> </w:t>
      </w:r>
    </w:p>
    <w:p w:rsidR="004C6778" w:rsidRPr="00C60265" w:rsidRDefault="00395E67" w:rsidP="00DF4510">
      <w:pPr>
        <w:pStyle w:val="8"/>
        <w:keepNext/>
        <w:keepLines/>
      </w:pPr>
      <w:r w:rsidRPr="00FA77F6">
        <w:rPr>
          <w:lang w:val="en-US"/>
        </w:rPr>
        <w:t>Events after the reporting date</w:t>
      </w:r>
    </w:p>
    <w:p w:rsidR="004C6778" w:rsidRPr="00836721" w:rsidRDefault="004C6778" w:rsidP="00DF4510">
      <w:pPr>
        <w:pStyle w:val="a0"/>
        <w:keepNext/>
        <w:keepLines/>
        <w:ind w:firstLine="709"/>
        <w:rPr>
          <w:b/>
          <w:bCs/>
          <w:iCs/>
          <w:szCs w:val="24"/>
          <w:lang w:eastAsia="ru-RU"/>
        </w:rPr>
      </w:pPr>
    </w:p>
    <w:p w:rsidR="004C6778" w:rsidRPr="00395E67" w:rsidRDefault="00395E67" w:rsidP="004C6778">
      <w:pPr>
        <w:ind w:firstLine="709"/>
        <w:jc w:val="both"/>
        <w:rPr>
          <w:sz w:val="24"/>
          <w:szCs w:val="24"/>
          <w:lang w:val="en-US" w:eastAsia="ru-RU"/>
        </w:rPr>
      </w:pPr>
      <w:r>
        <w:rPr>
          <w:sz w:val="24"/>
          <w:szCs w:val="24"/>
          <w:lang w:val="en-US" w:eastAsia="ru-RU"/>
        </w:rPr>
        <w:t>There were no significant e</w:t>
      </w:r>
      <w:r w:rsidRPr="00395E67">
        <w:rPr>
          <w:sz w:val="24"/>
          <w:szCs w:val="24"/>
          <w:lang w:val="en-US" w:eastAsia="ru-RU"/>
        </w:rPr>
        <w:t>vents after the reporting date</w:t>
      </w:r>
      <w:r w:rsidR="00B56C75" w:rsidRPr="00395E67">
        <w:rPr>
          <w:sz w:val="24"/>
          <w:szCs w:val="24"/>
          <w:lang w:val="en-US" w:eastAsia="ru-RU"/>
        </w:rPr>
        <w:t>.</w:t>
      </w:r>
    </w:p>
    <w:p w:rsidR="00B56C75" w:rsidRPr="00395E67" w:rsidRDefault="00B56C75" w:rsidP="004C6778">
      <w:pPr>
        <w:ind w:firstLine="709"/>
        <w:jc w:val="both"/>
        <w:rPr>
          <w:sz w:val="24"/>
          <w:szCs w:val="24"/>
          <w:lang w:val="en-US" w:eastAsia="ru-RU"/>
        </w:rPr>
      </w:pPr>
    </w:p>
    <w:p w:rsidR="004C6778" w:rsidRPr="00726828" w:rsidRDefault="00C43E03" w:rsidP="004C6778">
      <w:pPr>
        <w:pStyle w:val="a0"/>
        <w:ind w:firstLine="709"/>
        <w:rPr>
          <w:b/>
          <w:bCs/>
          <w:iCs/>
          <w:szCs w:val="24"/>
          <w:lang w:val="en-US" w:eastAsia="ru-RU"/>
        </w:rPr>
      </w:pPr>
      <w:r w:rsidRPr="003F70B8">
        <w:rPr>
          <w:b/>
          <w:bCs/>
          <w:iCs/>
          <w:szCs w:val="24"/>
          <w:lang w:val="en-US" w:eastAsia="ru-RU"/>
        </w:rPr>
        <w:t>Litigation</w:t>
      </w:r>
    </w:p>
    <w:p w:rsidR="004C6778" w:rsidRPr="00395E67" w:rsidRDefault="002A0D3E" w:rsidP="004C6778">
      <w:pPr>
        <w:ind w:firstLine="709"/>
        <w:jc w:val="both"/>
        <w:rPr>
          <w:sz w:val="24"/>
          <w:szCs w:val="24"/>
          <w:lang w:val="en-US" w:eastAsia="ru-RU"/>
        </w:rPr>
      </w:pPr>
      <w:r w:rsidRPr="00395E67">
        <w:rPr>
          <w:sz w:val="24"/>
          <w:szCs w:val="24"/>
          <w:lang w:val="en-US" w:eastAsia="ru-RU"/>
        </w:rPr>
        <w:t xml:space="preserve"> </w:t>
      </w:r>
      <w:r w:rsidR="00C43E03" w:rsidRPr="003F70B8">
        <w:rPr>
          <w:sz w:val="24"/>
          <w:szCs w:val="24"/>
          <w:lang w:val="en-US" w:eastAsia="ru-RU"/>
        </w:rPr>
        <w:t>There</w:t>
      </w:r>
      <w:r w:rsidR="00C43E03" w:rsidRPr="00395E67">
        <w:rPr>
          <w:sz w:val="24"/>
          <w:szCs w:val="24"/>
          <w:lang w:val="en-US" w:eastAsia="ru-RU"/>
        </w:rPr>
        <w:t xml:space="preserve"> </w:t>
      </w:r>
      <w:r w:rsidR="00C43E03" w:rsidRPr="003F70B8">
        <w:rPr>
          <w:sz w:val="24"/>
          <w:szCs w:val="24"/>
          <w:lang w:val="en-US" w:eastAsia="ru-RU"/>
        </w:rPr>
        <w:t>are</w:t>
      </w:r>
      <w:r w:rsidR="00C43E03" w:rsidRPr="00395E67">
        <w:rPr>
          <w:sz w:val="24"/>
          <w:szCs w:val="24"/>
          <w:lang w:val="en-US" w:eastAsia="ru-RU"/>
        </w:rPr>
        <w:t xml:space="preserve"> </w:t>
      </w:r>
      <w:r w:rsidR="00C43E03" w:rsidRPr="003F70B8">
        <w:rPr>
          <w:sz w:val="24"/>
          <w:szCs w:val="24"/>
          <w:lang w:val="en-US" w:eastAsia="ru-RU"/>
        </w:rPr>
        <w:t>no</w:t>
      </w:r>
      <w:r w:rsidR="00C43E03" w:rsidRPr="00395E67">
        <w:rPr>
          <w:sz w:val="24"/>
          <w:szCs w:val="24"/>
          <w:lang w:val="en-US" w:eastAsia="ru-RU"/>
        </w:rPr>
        <w:t xml:space="preserve"> </w:t>
      </w:r>
      <w:r w:rsidR="00C43E03" w:rsidRPr="003F70B8">
        <w:rPr>
          <w:sz w:val="24"/>
          <w:szCs w:val="24"/>
          <w:lang w:val="en-US" w:eastAsia="ru-RU"/>
        </w:rPr>
        <w:t>decisions</w:t>
      </w:r>
      <w:r w:rsidR="00C43E03" w:rsidRPr="00395E67">
        <w:rPr>
          <w:sz w:val="24"/>
          <w:szCs w:val="24"/>
          <w:lang w:val="en-US" w:eastAsia="ru-RU"/>
        </w:rPr>
        <w:t xml:space="preserve"> </w:t>
      </w:r>
      <w:r w:rsidR="00C43E03" w:rsidRPr="003F70B8">
        <w:rPr>
          <w:sz w:val="24"/>
          <w:szCs w:val="24"/>
          <w:lang w:val="en-US" w:eastAsia="ru-RU"/>
        </w:rPr>
        <w:t>on</w:t>
      </w:r>
      <w:r w:rsidR="00C43E03" w:rsidRPr="00395E67">
        <w:rPr>
          <w:sz w:val="24"/>
          <w:szCs w:val="24"/>
          <w:lang w:val="en-US" w:eastAsia="ru-RU"/>
        </w:rPr>
        <w:t xml:space="preserve"> </w:t>
      </w:r>
      <w:r w:rsidR="00C43E03" w:rsidRPr="003F70B8">
        <w:rPr>
          <w:sz w:val="24"/>
          <w:szCs w:val="24"/>
          <w:lang w:val="en-US" w:eastAsia="ru-RU"/>
        </w:rPr>
        <w:t>litigation</w:t>
      </w:r>
      <w:r w:rsidR="00C43E03" w:rsidRPr="00395E67">
        <w:rPr>
          <w:sz w:val="24"/>
          <w:szCs w:val="24"/>
          <w:lang w:val="en-US" w:eastAsia="ru-RU"/>
        </w:rPr>
        <w:t xml:space="preserve">, </w:t>
      </w:r>
      <w:r w:rsidR="00C43E03" w:rsidRPr="003F70B8">
        <w:rPr>
          <w:sz w:val="24"/>
          <w:szCs w:val="24"/>
          <w:lang w:val="en-US" w:eastAsia="ru-RU"/>
        </w:rPr>
        <w:t>which</w:t>
      </w:r>
      <w:r w:rsidR="00C43E03" w:rsidRPr="00395E67">
        <w:rPr>
          <w:sz w:val="24"/>
          <w:szCs w:val="24"/>
          <w:lang w:val="en-US" w:eastAsia="ru-RU"/>
        </w:rPr>
        <w:t xml:space="preserve"> </w:t>
      </w:r>
      <w:r w:rsidR="00C43E03" w:rsidRPr="003F70B8">
        <w:rPr>
          <w:sz w:val="24"/>
          <w:szCs w:val="24"/>
          <w:lang w:val="en-US" w:eastAsia="ru-RU"/>
        </w:rPr>
        <w:t>entered</w:t>
      </w:r>
      <w:r w:rsidR="00C43E03" w:rsidRPr="00395E67">
        <w:rPr>
          <w:sz w:val="24"/>
          <w:szCs w:val="24"/>
          <w:lang w:val="en-US" w:eastAsia="ru-RU"/>
        </w:rPr>
        <w:t xml:space="preserve"> </w:t>
      </w:r>
      <w:r w:rsidR="00C43E03" w:rsidRPr="003F70B8">
        <w:rPr>
          <w:sz w:val="24"/>
          <w:szCs w:val="24"/>
          <w:lang w:val="en-US" w:eastAsia="ru-RU"/>
        </w:rPr>
        <w:t>into</w:t>
      </w:r>
      <w:r w:rsidR="00C43E03" w:rsidRPr="00395E67">
        <w:rPr>
          <w:sz w:val="24"/>
          <w:szCs w:val="24"/>
          <w:lang w:val="en-US" w:eastAsia="ru-RU"/>
        </w:rPr>
        <w:t xml:space="preserve"> </w:t>
      </w:r>
      <w:r w:rsidR="00C43E03" w:rsidRPr="003F70B8">
        <w:rPr>
          <w:sz w:val="24"/>
          <w:szCs w:val="24"/>
          <w:lang w:val="en-US" w:eastAsia="ru-RU"/>
        </w:rPr>
        <w:t>force</w:t>
      </w:r>
      <w:r w:rsidR="00C43E03" w:rsidRPr="00395E67">
        <w:rPr>
          <w:sz w:val="24"/>
          <w:szCs w:val="24"/>
          <w:lang w:val="en-US" w:eastAsia="ru-RU"/>
        </w:rPr>
        <w:t xml:space="preserve"> </w:t>
      </w:r>
      <w:r w:rsidR="00C43E03" w:rsidRPr="003F70B8">
        <w:rPr>
          <w:sz w:val="24"/>
          <w:szCs w:val="24"/>
          <w:lang w:val="en-US" w:eastAsia="ru-RU"/>
        </w:rPr>
        <w:t>in</w:t>
      </w:r>
      <w:r w:rsidR="00C43E03" w:rsidRPr="00395E67">
        <w:rPr>
          <w:sz w:val="24"/>
          <w:szCs w:val="24"/>
          <w:lang w:val="en-US" w:eastAsia="ru-RU"/>
        </w:rPr>
        <w:t xml:space="preserve"> 2015, </w:t>
      </w:r>
      <w:r w:rsidR="00C43E03" w:rsidRPr="003F70B8">
        <w:rPr>
          <w:sz w:val="24"/>
          <w:szCs w:val="24"/>
          <w:lang w:val="en-US" w:eastAsia="ru-RU"/>
        </w:rPr>
        <w:t>before</w:t>
      </w:r>
      <w:r w:rsidR="00C43E03" w:rsidRPr="00395E67">
        <w:rPr>
          <w:sz w:val="24"/>
          <w:szCs w:val="24"/>
          <w:lang w:val="en-US" w:eastAsia="ru-RU"/>
        </w:rPr>
        <w:t xml:space="preserve"> </w:t>
      </w:r>
      <w:r w:rsidR="00C43E03" w:rsidRPr="003F70B8">
        <w:rPr>
          <w:sz w:val="24"/>
          <w:szCs w:val="24"/>
          <w:lang w:val="en-US" w:eastAsia="ru-RU"/>
        </w:rPr>
        <w:t>signing</w:t>
      </w:r>
      <w:r w:rsidR="00C43E03" w:rsidRPr="00395E67">
        <w:rPr>
          <w:sz w:val="24"/>
          <w:szCs w:val="24"/>
          <w:lang w:val="en-US" w:eastAsia="ru-RU"/>
        </w:rPr>
        <w:t xml:space="preserve"> </w:t>
      </w:r>
      <w:r w:rsidR="00C43E03" w:rsidRPr="003F70B8">
        <w:rPr>
          <w:sz w:val="24"/>
          <w:szCs w:val="24"/>
          <w:lang w:val="en-US" w:eastAsia="ru-RU"/>
        </w:rPr>
        <w:t>the</w:t>
      </w:r>
      <w:r w:rsidR="00C43E03" w:rsidRPr="00395E67">
        <w:rPr>
          <w:sz w:val="24"/>
          <w:szCs w:val="24"/>
          <w:lang w:val="en-US" w:eastAsia="ru-RU"/>
        </w:rPr>
        <w:t xml:space="preserve"> </w:t>
      </w:r>
      <w:r w:rsidR="00C43E03" w:rsidRPr="003F70B8">
        <w:rPr>
          <w:sz w:val="24"/>
          <w:szCs w:val="24"/>
          <w:lang w:val="en-US" w:eastAsia="ru-RU"/>
        </w:rPr>
        <w:t>Company</w:t>
      </w:r>
      <w:r w:rsidR="00C43E03" w:rsidRPr="00395E67">
        <w:rPr>
          <w:sz w:val="24"/>
          <w:szCs w:val="24"/>
          <w:lang w:val="en-US" w:eastAsia="ru-RU"/>
        </w:rPr>
        <w:t>'</w:t>
      </w:r>
      <w:r w:rsidR="00C43E03" w:rsidRPr="003F70B8">
        <w:rPr>
          <w:sz w:val="24"/>
          <w:szCs w:val="24"/>
          <w:lang w:val="en-US" w:eastAsia="ru-RU"/>
        </w:rPr>
        <w:t>s</w:t>
      </w:r>
      <w:r w:rsidR="00C43E03" w:rsidRPr="00395E67">
        <w:rPr>
          <w:sz w:val="24"/>
          <w:szCs w:val="24"/>
          <w:lang w:val="en-US" w:eastAsia="ru-RU"/>
        </w:rPr>
        <w:t xml:space="preserve"> </w:t>
      </w:r>
      <w:r w:rsidR="00C43E03">
        <w:rPr>
          <w:sz w:val="24"/>
          <w:szCs w:val="24"/>
          <w:lang w:val="en-US" w:eastAsia="ru-RU"/>
        </w:rPr>
        <w:t>accounting</w:t>
      </w:r>
      <w:r w:rsidR="00C43E03" w:rsidRPr="00395E67">
        <w:rPr>
          <w:sz w:val="24"/>
          <w:szCs w:val="24"/>
          <w:lang w:val="en-US" w:eastAsia="ru-RU"/>
        </w:rPr>
        <w:t xml:space="preserve"> </w:t>
      </w:r>
      <w:r w:rsidR="00C43E03" w:rsidRPr="003F70B8">
        <w:rPr>
          <w:sz w:val="24"/>
          <w:szCs w:val="24"/>
          <w:lang w:val="en-US" w:eastAsia="ru-RU"/>
        </w:rPr>
        <w:t>statements</w:t>
      </w:r>
      <w:r w:rsidR="004C6778" w:rsidRPr="00395E67">
        <w:rPr>
          <w:sz w:val="24"/>
          <w:szCs w:val="24"/>
          <w:lang w:val="en-US" w:eastAsia="ru-RU"/>
        </w:rPr>
        <w:t>.</w:t>
      </w:r>
    </w:p>
    <w:p w:rsidR="004C6778" w:rsidRPr="00395E67" w:rsidRDefault="004C6778" w:rsidP="004C6778">
      <w:pPr>
        <w:ind w:firstLine="709"/>
        <w:jc w:val="both"/>
        <w:rPr>
          <w:sz w:val="24"/>
          <w:szCs w:val="24"/>
          <w:lang w:val="en-US" w:eastAsia="ru-RU"/>
        </w:rPr>
      </w:pPr>
    </w:p>
    <w:p w:rsidR="004B669D" w:rsidRPr="00395E67" w:rsidRDefault="004B669D" w:rsidP="00DF723E">
      <w:pPr>
        <w:ind w:firstLine="709"/>
        <w:jc w:val="both"/>
        <w:rPr>
          <w:sz w:val="24"/>
          <w:szCs w:val="24"/>
          <w:lang w:val="en-US" w:eastAsia="ru-RU"/>
        </w:rPr>
      </w:pPr>
    </w:p>
    <w:p w:rsidR="00F77C5B" w:rsidRPr="00395E67" w:rsidRDefault="00F77C5B" w:rsidP="00DF723E">
      <w:pPr>
        <w:ind w:firstLine="709"/>
        <w:jc w:val="both"/>
        <w:rPr>
          <w:rFonts w:ascii="13" w:hAnsi="13"/>
          <w:b/>
          <w:sz w:val="26"/>
          <w:szCs w:val="26"/>
          <w:lang w:val="en-US"/>
        </w:rPr>
      </w:pPr>
    </w:p>
    <w:p w:rsidR="00184088" w:rsidRPr="00FD2EBF" w:rsidRDefault="00FD2EBF" w:rsidP="00E177BA">
      <w:pPr>
        <w:tabs>
          <w:tab w:val="left" w:pos="7740"/>
        </w:tabs>
        <w:ind w:firstLine="709"/>
        <w:jc w:val="both"/>
        <w:rPr>
          <w:rFonts w:ascii="13" w:hAnsi="13"/>
          <w:b/>
          <w:sz w:val="26"/>
          <w:szCs w:val="26"/>
          <w:lang w:val="en-US"/>
        </w:rPr>
      </w:pPr>
      <w:r w:rsidRPr="007C06C7">
        <w:rPr>
          <w:rFonts w:ascii="13" w:hAnsi="13"/>
          <w:b/>
          <w:sz w:val="26"/>
          <w:szCs w:val="26"/>
          <w:lang w:val="en-US"/>
        </w:rPr>
        <w:t>General Director</w:t>
      </w:r>
      <w:r w:rsidR="00F0601C" w:rsidRPr="00FD2EBF">
        <w:rPr>
          <w:rFonts w:ascii="13" w:hAnsi="13"/>
          <w:b/>
          <w:sz w:val="26"/>
          <w:szCs w:val="26"/>
          <w:lang w:val="en-US"/>
        </w:rPr>
        <w:t xml:space="preserve">                                                           </w:t>
      </w:r>
      <w:r>
        <w:rPr>
          <w:rFonts w:ascii="13" w:hAnsi="13"/>
          <w:b/>
          <w:sz w:val="26"/>
          <w:szCs w:val="26"/>
          <w:lang w:val="en-US"/>
        </w:rPr>
        <w:t xml:space="preserve">                </w:t>
      </w:r>
      <w:r w:rsidRPr="007C06C7">
        <w:rPr>
          <w:rFonts w:ascii="13" w:hAnsi="13"/>
          <w:b/>
          <w:sz w:val="26"/>
          <w:szCs w:val="26"/>
          <w:lang w:val="en-US"/>
        </w:rPr>
        <w:t xml:space="preserve">O.Y. </w:t>
      </w:r>
      <w:proofErr w:type="spellStart"/>
      <w:r w:rsidRPr="007C06C7">
        <w:rPr>
          <w:rFonts w:ascii="13" w:hAnsi="13"/>
          <w:b/>
          <w:sz w:val="26"/>
          <w:szCs w:val="26"/>
          <w:lang w:val="en-US"/>
        </w:rPr>
        <w:t>Isaev</w:t>
      </w:r>
      <w:proofErr w:type="spellEnd"/>
    </w:p>
    <w:p w:rsidR="00955899" w:rsidRPr="00FD2EBF" w:rsidRDefault="00955899" w:rsidP="00DF723E">
      <w:pPr>
        <w:ind w:firstLine="709"/>
        <w:jc w:val="both"/>
        <w:rPr>
          <w:rFonts w:ascii="13" w:hAnsi="13"/>
          <w:b/>
          <w:sz w:val="26"/>
          <w:szCs w:val="26"/>
          <w:lang w:val="en-US"/>
        </w:rPr>
      </w:pPr>
    </w:p>
    <w:p w:rsidR="00705545" w:rsidRPr="00FD2EBF" w:rsidRDefault="00FD2EBF" w:rsidP="00E177BA">
      <w:pPr>
        <w:tabs>
          <w:tab w:val="left" w:pos="7470"/>
        </w:tabs>
        <w:ind w:firstLine="709"/>
        <w:jc w:val="both"/>
        <w:rPr>
          <w:rFonts w:ascii="13" w:hAnsi="13"/>
          <w:b/>
          <w:sz w:val="26"/>
          <w:szCs w:val="26"/>
          <w:lang w:val="en-US"/>
        </w:rPr>
      </w:pPr>
      <w:r w:rsidRPr="00DE1400">
        <w:rPr>
          <w:rFonts w:ascii="13" w:hAnsi="13"/>
          <w:b/>
          <w:sz w:val="26"/>
          <w:szCs w:val="26"/>
          <w:lang w:val="en-US"/>
        </w:rPr>
        <w:t>Chief Accountant</w:t>
      </w:r>
      <w:r w:rsidR="00955899" w:rsidRPr="00FD2EBF">
        <w:rPr>
          <w:rFonts w:ascii="13" w:hAnsi="13"/>
          <w:b/>
          <w:sz w:val="26"/>
          <w:szCs w:val="26"/>
          <w:lang w:val="en-US"/>
        </w:rPr>
        <w:tab/>
      </w:r>
      <w:r w:rsidRPr="007C06C7">
        <w:rPr>
          <w:rFonts w:ascii="13" w:hAnsi="13"/>
          <w:b/>
          <w:sz w:val="26"/>
          <w:szCs w:val="26"/>
          <w:lang w:val="en-US"/>
        </w:rPr>
        <w:t xml:space="preserve">L.A. </w:t>
      </w:r>
      <w:proofErr w:type="spellStart"/>
      <w:r w:rsidRPr="007C06C7">
        <w:rPr>
          <w:rFonts w:ascii="13" w:hAnsi="13"/>
          <w:b/>
          <w:sz w:val="26"/>
          <w:szCs w:val="26"/>
          <w:lang w:val="en-US"/>
        </w:rPr>
        <w:t>Sklyarova</w:t>
      </w:r>
      <w:proofErr w:type="spellEnd"/>
    </w:p>
    <w:p w:rsidR="00955899" w:rsidRPr="00FD2EBF" w:rsidRDefault="00955899" w:rsidP="000E706E">
      <w:pPr>
        <w:ind w:firstLine="709"/>
        <w:jc w:val="both"/>
        <w:rPr>
          <w:rFonts w:ascii="13" w:hAnsi="13"/>
          <w:b/>
          <w:sz w:val="26"/>
          <w:szCs w:val="26"/>
          <w:lang w:val="en-US"/>
        </w:rPr>
      </w:pPr>
    </w:p>
    <w:p w:rsidR="00955899" w:rsidRPr="00FD2EBF" w:rsidRDefault="009F57F1" w:rsidP="000E706E">
      <w:pPr>
        <w:ind w:firstLine="709"/>
        <w:jc w:val="both"/>
        <w:rPr>
          <w:rFonts w:ascii="13" w:hAnsi="13"/>
          <w:b/>
          <w:sz w:val="26"/>
          <w:szCs w:val="26"/>
          <w:lang w:val="en-US"/>
        </w:rPr>
      </w:pPr>
      <w:r w:rsidRPr="007C06C7">
        <w:rPr>
          <w:rFonts w:ascii="13" w:hAnsi="13"/>
          <w:b/>
          <w:sz w:val="26"/>
          <w:szCs w:val="26"/>
          <w:lang w:val="en-US"/>
        </w:rPr>
        <w:t>0</w:t>
      </w:r>
      <w:r>
        <w:rPr>
          <w:rFonts w:ascii="13" w:hAnsi="13"/>
          <w:b/>
          <w:sz w:val="26"/>
          <w:szCs w:val="26"/>
          <w:lang w:val="en-US"/>
        </w:rPr>
        <w:t>2</w:t>
      </w:r>
      <w:r w:rsidRPr="007C06C7">
        <w:rPr>
          <w:rFonts w:ascii="13" w:hAnsi="13"/>
          <w:b/>
          <w:sz w:val="26"/>
          <w:szCs w:val="26"/>
          <w:lang w:val="en-US"/>
        </w:rPr>
        <w:t xml:space="preserve"> </w:t>
      </w:r>
      <w:proofErr w:type="gramStart"/>
      <w:r>
        <w:rPr>
          <w:rFonts w:ascii="13" w:hAnsi="13"/>
          <w:b/>
          <w:sz w:val="26"/>
          <w:szCs w:val="26"/>
          <w:lang w:val="en-US"/>
        </w:rPr>
        <w:t>March</w:t>
      </w:r>
      <w:r w:rsidR="00F06B7D" w:rsidRPr="00FD2EBF">
        <w:rPr>
          <w:rFonts w:ascii="13" w:hAnsi="13"/>
          <w:b/>
          <w:sz w:val="26"/>
          <w:szCs w:val="26"/>
          <w:lang w:val="en-US"/>
        </w:rPr>
        <w:t xml:space="preserve"> </w:t>
      </w:r>
      <w:r w:rsidR="00955899" w:rsidRPr="00FD2EBF">
        <w:rPr>
          <w:rFonts w:ascii="13" w:hAnsi="13"/>
          <w:b/>
          <w:sz w:val="26"/>
          <w:szCs w:val="26"/>
          <w:lang w:val="en-US"/>
        </w:rPr>
        <w:t xml:space="preserve"> 201</w:t>
      </w:r>
      <w:r w:rsidR="00F06B7D" w:rsidRPr="00FD2EBF">
        <w:rPr>
          <w:rFonts w:ascii="13" w:hAnsi="13"/>
          <w:b/>
          <w:sz w:val="26"/>
          <w:szCs w:val="26"/>
          <w:lang w:val="en-US"/>
        </w:rPr>
        <w:t>5</w:t>
      </w:r>
      <w:proofErr w:type="gramEnd"/>
      <w:r w:rsidR="00955899" w:rsidRPr="00FD2EBF">
        <w:rPr>
          <w:rFonts w:ascii="13" w:hAnsi="13"/>
          <w:b/>
          <w:sz w:val="26"/>
          <w:szCs w:val="26"/>
          <w:lang w:val="en-US"/>
        </w:rPr>
        <w:t xml:space="preserve"> </w:t>
      </w:r>
    </w:p>
    <w:sectPr w:rsidR="00955899" w:rsidRPr="00FD2EBF" w:rsidSect="004034FB">
      <w:footnotePr>
        <w:numRestart w:val="eachSect"/>
      </w:footnotePr>
      <w:type w:val="continuous"/>
      <w:pgSz w:w="11907" w:h="16839" w:code="9"/>
      <w:pgMar w:top="851" w:right="83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F76" w:rsidRDefault="00EA4F76" w:rsidP="00935A64">
      <w:r>
        <w:separator/>
      </w:r>
    </w:p>
  </w:endnote>
  <w:endnote w:type="continuationSeparator" w:id="0">
    <w:p w:rsidR="00EA4F76" w:rsidRDefault="00EA4F76" w:rsidP="00935A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13">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02" w:rsidRDefault="0031631D" w:rsidP="00F00051">
    <w:pPr>
      <w:pStyle w:val="a8"/>
      <w:framePr w:wrap="around" w:vAnchor="text" w:hAnchor="margin" w:xAlign="center" w:y="1"/>
      <w:rPr>
        <w:rStyle w:val="aa"/>
      </w:rPr>
    </w:pPr>
    <w:r>
      <w:rPr>
        <w:rStyle w:val="aa"/>
      </w:rPr>
      <w:fldChar w:fldCharType="begin"/>
    </w:r>
    <w:r w:rsidR="007C4502">
      <w:rPr>
        <w:rStyle w:val="aa"/>
      </w:rPr>
      <w:instrText xml:space="preserve">PAGE  </w:instrText>
    </w:r>
    <w:r>
      <w:rPr>
        <w:rStyle w:val="aa"/>
      </w:rPr>
      <w:fldChar w:fldCharType="separate"/>
    </w:r>
    <w:r w:rsidR="007C4502">
      <w:rPr>
        <w:rStyle w:val="aa"/>
        <w:noProof/>
      </w:rPr>
      <w:t>25</w:t>
    </w:r>
    <w:r>
      <w:rPr>
        <w:rStyle w:val="aa"/>
      </w:rPr>
      <w:fldChar w:fldCharType="end"/>
    </w:r>
  </w:p>
  <w:p w:rsidR="007C4502" w:rsidRDefault="007C4502" w:rsidP="00FF147D">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02" w:rsidRDefault="007C4502">
    <w:pPr>
      <w:pStyle w:val="a8"/>
      <w:ind w:right="360"/>
      <w:rPr>
        <w:lang w:val="ru-RU"/>
      </w:rPr>
    </w:pPr>
  </w:p>
  <w:p w:rsidR="007C4502" w:rsidRDefault="007C4502">
    <w:pPr>
      <w:pStyle w:val="a8"/>
      <w:ind w:right="360"/>
      <w:rPr>
        <w:lang w:val="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02" w:rsidRPr="009B2D22" w:rsidRDefault="007C4502">
    <w:pPr>
      <w:pStyle w:val="a8"/>
      <w:ind w:right="360"/>
      <w:rPr>
        <w:sz w:val="16"/>
        <w:szCs w:val="16"/>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F76" w:rsidRDefault="00EA4F76" w:rsidP="00935A64">
      <w:r>
        <w:separator/>
      </w:r>
    </w:p>
  </w:footnote>
  <w:footnote w:type="continuationSeparator" w:id="0">
    <w:p w:rsidR="00EA4F76" w:rsidRDefault="00EA4F76" w:rsidP="00935A64">
      <w:r>
        <w:continuationSeparator/>
      </w:r>
    </w:p>
  </w:footnote>
  <w:footnote w:id="1">
    <w:p w:rsidR="007C4502" w:rsidRPr="00AA048D" w:rsidRDefault="007C4502" w:rsidP="00AB0138">
      <w:pPr>
        <w:pStyle w:val="af7"/>
        <w:rPr>
          <w:rFonts w:ascii="Times New Roman" w:hAnsi="Times New Roman"/>
          <w:sz w:val="14"/>
          <w:szCs w:val="14"/>
          <w:lang w:val="en-US"/>
        </w:rPr>
      </w:pPr>
      <w:r>
        <w:rPr>
          <w:rStyle w:val="af9"/>
        </w:rPr>
        <w:footnoteRef/>
      </w:r>
      <w:r w:rsidRPr="00AA048D">
        <w:rPr>
          <w:lang w:val="en-US"/>
        </w:rPr>
        <w:t xml:space="preserve"> </w:t>
      </w:r>
      <w:r w:rsidRPr="00AA048D">
        <w:rPr>
          <w:rFonts w:ascii="Times New Roman" w:eastAsia="Times New Roman" w:hAnsi="Times New Roman"/>
          <w:sz w:val="14"/>
          <w:szCs w:val="14"/>
          <w:lang w:val="en-US" w:eastAsia="ru-RU"/>
        </w:rPr>
        <w:t>A legal entity which is a subsidiary of the same company, which is a subsidiary of the Company itself</w:t>
      </w:r>
    </w:p>
  </w:footnote>
  <w:footnote w:id="2">
    <w:p w:rsidR="007C4502" w:rsidRPr="00AA048D" w:rsidRDefault="007C4502">
      <w:pPr>
        <w:pStyle w:val="af7"/>
        <w:rPr>
          <w:lang w:val="en-US"/>
        </w:rPr>
      </w:pPr>
      <w:r>
        <w:rPr>
          <w:rStyle w:val="af9"/>
        </w:rPr>
        <w:footnoteRef/>
      </w:r>
      <w:r w:rsidRPr="00AA048D">
        <w:rPr>
          <w:lang w:val="en-US"/>
        </w:rPr>
        <w:t xml:space="preserve"> </w:t>
      </w:r>
      <w:r w:rsidRPr="00AA048D">
        <w:rPr>
          <w:rFonts w:ascii="Times New Roman" w:eastAsia="Times New Roman" w:hAnsi="Times New Roman"/>
          <w:sz w:val="14"/>
          <w:szCs w:val="14"/>
          <w:lang w:val="en-US" w:eastAsia="ru-RU"/>
        </w:rPr>
        <w:t>A legal entity which is a subsidiary of the Company</w:t>
      </w:r>
    </w:p>
  </w:footnote>
  <w:footnote w:id="3">
    <w:p w:rsidR="007C4502" w:rsidRPr="00AA048D" w:rsidRDefault="007C4502">
      <w:pPr>
        <w:pStyle w:val="af7"/>
        <w:rPr>
          <w:lang w:val="en-US"/>
        </w:rPr>
      </w:pPr>
      <w:r>
        <w:rPr>
          <w:rStyle w:val="af9"/>
        </w:rPr>
        <w:footnoteRef/>
      </w:r>
      <w:r w:rsidRPr="00AA048D">
        <w:rPr>
          <w:lang w:val="en-US"/>
        </w:rPr>
        <w:t xml:space="preserve"> </w:t>
      </w:r>
      <w:r w:rsidRPr="00AA048D">
        <w:rPr>
          <w:rFonts w:ascii="Times New Roman" w:eastAsia="Times New Roman" w:hAnsi="Times New Roman"/>
          <w:sz w:val="14"/>
          <w:szCs w:val="14"/>
          <w:lang w:val="en-US" w:eastAsia="ru-RU"/>
        </w:rPr>
        <w:t>The parent company of the Company</w:t>
      </w:r>
    </w:p>
  </w:footnote>
  <w:footnote w:id="4">
    <w:p w:rsidR="007C4502" w:rsidRPr="00AA048D" w:rsidRDefault="007C4502">
      <w:pPr>
        <w:pStyle w:val="af7"/>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02" w:rsidRDefault="007C4502">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2354"/>
    <w:multiLevelType w:val="multilevel"/>
    <w:tmpl w:val="65560D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927EB"/>
    <w:multiLevelType w:val="hybridMultilevel"/>
    <w:tmpl w:val="5CA23E5A"/>
    <w:lvl w:ilvl="0" w:tplc="F6ACEF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D6539"/>
    <w:multiLevelType w:val="hybridMultilevel"/>
    <w:tmpl w:val="2E1C5E72"/>
    <w:lvl w:ilvl="0" w:tplc="F6ACEF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269A5"/>
    <w:multiLevelType w:val="multilevel"/>
    <w:tmpl w:val="6B1A452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F143202"/>
    <w:multiLevelType w:val="multilevel"/>
    <w:tmpl w:val="58925BAA"/>
    <w:lvl w:ilvl="0">
      <w:start w:val="1"/>
      <w:numFmt w:val="decimal"/>
      <w:lvlText w:val="%1."/>
      <w:lvlJc w:val="left"/>
      <w:pPr>
        <w:ind w:left="720" w:hanging="360"/>
      </w:pPr>
      <w:rPr>
        <w:rFonts w:hint="default"/>
        <w:sz w:val="22"/>
        <w:szCs w:val="22"/>
      </w:rPr>
    </w:lvl>
    <w:lvl w:ilvl="1">
      <w:start w:val="4"/>
      <w:numFmt w:val="decimal"/>
      <w:pStyle w:val="8"/>
      <w:isLgl/>
      <w:lvlText w:val="%1.%2."/>
      <w:lvlJc w:val="left"/>
      <w:pPr>
        <w:ind w:left="786" w:hanging="360"/>
      </w:pPr>
      <w:rPr>
        <w:rFonts w:hint="default"/>
        <w:i/>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4646390"/>
    <w:multiLevelType w:val="hybridMultilevel"/>
    <w:tmpl w:val="C55ABBC8"/>
    <w:lvl w:ilvl="0" w:tplc="F6ACEF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9D41E6"/>
    <w:multiLevelType w:val="multilevel"/>
    <w:tmpl w:val="44700394"/>
    <w:lvl w:ilvl="0">
      <w:start w:val="1"/>
      <w:numFmt w:val="bullet"/>
      <w:lvlText w:val=""/>
      <w:lvlJc w:val="left"/>
      <w:pPr>
        <w:tabs>
          <w:tab w:val="num" w:pos="0"/>
        </w:tabs>
        <w:ind w:left="0" w:hanging="360"/>
      </w:pPr>
      <w:rPr>
        <w:rFonts w:ascii="Symbol" w:hAnsi="Symbol" w:hint="default"/>
        <w:sz w:val="20"/>
      </w:rPr>
    </w:lvl>
    <w:lvl w:ilvl="1">
      <w:start w:val="10"/>
      <w:numFmt w:val="decimal"/>
      <w:lvlText w:val="%2"/>
      <w:lvlJc w:val="left"/>
      <w:pPr>
        <w:ind w:left="720" w:hanging="360"/>
      </w:pPr>
      <w:rPr>
        <w:rFonts w:hint="default"/>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7">
    <w:nsid w:val="3BDC1FF9"/>
    <w:multiLevelType w:val="hybridMultilevel"/>
    <w:tmpl w:val="88362890"/>
    <w:lvl w:ilvl="0" w:tplc="F6ACEF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D6FF6"/>
    <w:multiLevelType w:val="hybridMultilevel"/>
    <w:tmpl w:val="015C743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nsid w:val="4724001C"/>
    <w:multiLevelType w:val="hybridMultilevel"/>
    <w:tmpl w:val="03DEBE32"/>
    <w:lvl w:ilvl="0" w:tplc="CFC68B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F6D406C"/>
    <w:multiLevelType w:val="hybridMultilevel"/>
    <w:tmpl w:val="3C7CB67A"/>
    <w:lvl w:ilvl="0" w:tplc="C3F8A0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3F34670"/>
    <w:multiLevelType w:val="multilevel"/>
    <w:tmpl w:val="E73EBB12"/>
    <w:lvl w:ilvl="0">
      <w:start w:val="3"/>
      <w:numFmt w:val="decimal"/>
      <w:lvlText w:val="%1."/>
      <w:lvlJc w:val="left"/>
      <w:pPr>
        <w:ind w:left="660" w:hanging="660"/>
      </w:pPr>
      <w:rPr>
        <w:rFonts w:hint="default"/>
      </w:rPr>
    </w:lvl>
    <w:lvl w:ilvl="1">
      <w:start w:val="11"/>
      <w:numFmt w:val="decimal"/>
      <w:lvlText w:val="%1.%2."/>
      <w:lvlJc w:val="left"/>
      <w:pPr>
        <w:ind w:left="1372" w:hanging="6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12">
    <w:nsid w:val="752569B9"/>
    <w:multiLevelType w:val="hybridMultilevel"/>
    <w:tmpl w:val="08FADE60"/>
    <w:lvl w:ilvl="0" w:tplc="F6ACEFFC">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6"/>
  </w:num>
  <w:num w:numId="2">
    <w:abstractNumId w:val="0"/>
  </w:num>
  <w:num w:numId="3">
    <w:abstractNumId w:val="8"/>
  </w:num>
  <w:num w:numId="4">
    <w:abstractNumId w:val="12"/>
  </w:num>
  <w:num w:numId="5">
    <w:abstractNumId w:val="4"/>
  </w:num>
  <w:num w:numId="6">
    <w:abstractNumId w:val="11"/>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5"/>
  </w:num>
  <w:num w:numId="11">
    <w:abstractNumId w:val="2"/>
  </w:num>
  <w:num w:numId="12">
    <w:abstractNumId w:val="7"/>
  </w:num>
  <w:num w:numId="13">
    <w:abstractNumId w:val="1"/>
  </w:num>
  <w:num w:numId="14">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14338"/>
  </w:hdrShapeDefaults>
  <w:footnotePr>
    <w:footnote w:id="-1"/>
    <w:footnote w:id="0"/>
  </w:footnotePr>
  <w:endnotePr>
    <w:endnote w:id="-1"/>
    <w:endnote w:id="0"/>
  </w:endnotePr>
  <w:compat/>
  <w:rsids>
    <w:rsidRoot w:val="00226A22"/>
    <w:rsid w:val="00000EF1"/>
    <w:rsid w:val="00002550"/>
    <w:rsid w:val="00002C8E"/>
    <w:rsid w:val="00002E43"/>
    <w:rsid w:val="00003E85"/>
    <w:rsid w:val="000051C0"/>
    <w:rsid w:val="000055BA"/>
    <w:rsid w:val="00006581"/>
    <w:rsid w:val="0001520D"/>
    <w:rsid w:val="000175CF"/>
    <w:rsid w:val="0002144D"/>
    <w:rsid w:val="0002191E"/>
    <w:rsid w:val="00022789"/>
    <w:rsid w:val="0002335A"/>
    <w:rsid w:val="00023AFE"/>
    <w:rsid w:val="00024314"/>
    <w:rsid w:val="00024457"/>
    <w:rsid w:val="000259AD"/>
    <w:rsid w:val="00025A5E"/>
    <w:rsid w:val="00026470"/>
    <w:rsid w:val="00027F98"/>
    <w:rsid w:val="00032C79"/>
    <w:rsid w:val="00032F67"/>
    <w:rsid w:val="00033000"/>
    <w:rsid w:val="00034DEC"/>
    <w:rsid w:val="00035629"/>
    <w:rsid w:val="00035946"/>
    <w:rsid w:val="000369DE"/>
    <w:rsid w:val="000407A5"/>
    <w:rsid w:val="000420CF"/>
    <w:rsid w:val="000453ED"/>
    <w:rsid w:val="000459E0"/>
    <w:rsid w:val="00045DB0"/>
    <w:rsid w:val="000460C6"/>
    <w:rsid w:val="00050DED"/>
    <w:rsid w:val="00052541"/>
    <w:rsid w:val="000526A8"/>
    <w:rsid w:val="000533A3"/>
    <w:rsid w:val="0005410F"/>
    <w:rsid w:val="000558A2"/>
    <w:rsid w:val="000564C6"/>
    <w:rsid w:val="00057023"/>
    <w:rsid w:val="0005786F"/>
    <w:rsid w:val="00061663"/>
    <w:rsid w:val="000621C6"/>
    <w:rsid w:val="000622D0"/>
    <w:rsid w:val="00063311"/>
    <w:rsid w:val="000637AA"/>
    <w:rsid w:val="0006565E"/>
    <w:rsid w:val="000667C3"/>
    <w:rsid w:val="00067D4A"/>
    <w:rsid w:val="000705F9"/>
    <w:rsid w:val="00073F22"/>
    <w:rsid w:val="00075E1E"/>
    <w:rsid w:val="000761E9"/>
    <w:rsid w:val="000767CA"/>
    <w:rsid w:val="000771AD"/>
    <w:rsid w:val="00077949"/>
    <w:rsid w:val="00081455"/>
    <w:rsid w:val="00081867"/>
    <w:rsid w:val="00081B7B"/>
    <w:rsid w:val="00082411"/>
    <w:rsid w:val="00082E50"/>
    <w:rsid w:val="00084541"/>
    <w:rsid w:val="00085982"/>
    <w:rsid w:val="00086053"/>
    <w:rsid w:val="0009182A"/>
    <w:rsid w:val="00093184"/>
    <w:rsid w:val="00095771"/>
    <w:rsid w:val="00096AE4"/>
    <w:rsid w:val="000A14CC"/>
    <w:rsid w:val="000A1D8E"/>
    <w:rsid w:val="000A5714"/>
    <w:rsid w:val="000A692F"/>
    <w:rsid w:val="000A71EA"/>
    <w:rsid w:val="000B1621"/>
    <w:rsid w:val="000B1647"/>
    <w:rsid w:val="000B293B"/>
    <w:rsid w:val="000B52FD"/>
    <w:rsid w:val="000B5A9C"/>
    <w:rsid w:val="000B5B41"/>
    <w:rsid w:val="000B76B8"/>
    <w:rsid w:val="000C5154"/>
    <w:rsid w:val="000C5429"/>
    <w:rsid w:val="000C56E7"/>
    <w:rsid w:val="000C6850"/>
    <w:rsid w:val="000D0352"/>
    <w:rsid w:val="000D1B64"/>
    <w:rsid w:val="000D1E4E"/>
    <w:rsid w:val="000D5B29"/>
    <w:rsid w:val="000D61F1"/>
    <w:rsid w:val="000D628F"/>
    <w:rsid w:val="000D74DF"/>
    <w:rsid w:val="000E22AE"/>
    <w:rsid w:val="000E3355"/>
    <w:rsid w:val="000E3E37"/>
    <w:rsid w:val="000E3ECF"/>
    <w:rsid w:val="000E5AD8"/>
    <w:rsid w:val="000E6177"/>
    <w:rsid w:val="000E706E"/>
    <w:rsid w:val="000E755C"/>
    <w:rsid w:val="000F04A6"/>
    <w:rsid w:val="000F088F"/>
    <w:rsid w:val="000F2451"/>
    <w:rsid w:val="000F2EDB"/>
    <w:rsid w:val="000F454F"/>
    <w:rsid w:val="000F4B71"/>
    <w:rsid w:val="000F56CD"/>
    <w:rsid w:val="000F6094"/>
    <w:rsid w:val="000F69F0"/>
    <w:rsid w:val="000F78A0"/>
    <w:rsid w:val="00100AC7"/>
    <w:rsid w:val="001020EB"/>
    <w:rsid w:val="0010379B"/>
    <w:rsid w:val="00103BE0"/>
    <w:rsid w:val="00105022"/>
    <w:rsid w:val="00105435"/>
    <w:rsid w:val="001070C5"/>
    <w:rsid w:val="001071B9"/>
    <w:rsid w:val="00111D45"/>
    <w:rsid w:val="00113E5F"/>
    <w:rsid w:val="00114977"/>
    <w:rsid w:val="00116349"/>
    <w:rsid w:val="00117E9C"/>
    <w:rsid w:val="00123982"/>
    <w:rsid w:val="00123A97"/>
    <w:rsid w:val="00123E9A"/>
    <w:rsid w:val="00125B88"/>
    <w:rsid w:val="001264BF"/>
    <w:rsid w:val="001301A3"/>
    <w:rsid w:val="0013037B"/>
    <w:rsid w:val="0013220C"/>
    <w:rsid w:val="0013322F"/>
    <w:rsid w:val="00133F23"/>
    <w:rsid w:val="00136533"/>
    <w:rsid w:val="0013728F"/>
    <w:rsid w:val="001408FE"/>
    <w:rsid w:val="00145326"/>
    <w:rsid w:val="001462CD"/>
    <w:rsid w:val="00147D9A"/>
    <w:rsid w:val="0015019C"/>
    <w:rsid w:val="00150258"/>
    <w:rsid w:val="00150E65"/>
    <w:rsid w:val="00151DA5"/>
    <w:rsid w:val="00152B4E"/>
    <w:rsid w:val="00153692"/>
    <w:rsid w:val="0015421A"/>
    <w:rsid w:val="00154235"/>
    <w:rsid w:val="0015469C"/>
    <w:rsid w:val="00154E1B"/>
    <w:rsid w:val="001557B6"/>
    <w:rsid w:val="00156130"/>
    <w:rsid w:val="00156993"/>
    <w:rsid w:val="00156D34"/>
    <w:rsid w:val="00157939"/>
    <w:rsid w:val="00160DE7"/>
    <w:rsid w:val="001615F7"/>
    <w:rsid w:val="001620B7"/>
    <w:rsid w:val="00163ADD"/>
    <w:rsid w:val="00164082"/>
    <w:rsid w:val="001640D4"/>
    <w:rsid w:val="00164D0A"/>
    <w:rsid w:val="00166F65"/>
    <w:rsid w:val="001704EC"/>
    <w:rsid w:val="00172F12"/>
    <w:rsid w:val="00173F9F"/>
    <w:rsid w:val="0017459D"/>
    <w:rsid w:val="001761C3"/>
    <w:rsid w:val="0017705B"/>
    <w:rsid w:val="00181763"/>
    <w:rsid w:val="001831A1"/>
    <w:rsid w:val="00183EE8"/>
    <w:rsid w:val="00184088"/>
    <w:rsid w:val="00187B8C"/>
    <w:rsid w:val="00192F7E"/>
    <w:rsid w:val="00194791"/>
    <w:rsid w:val="0019660E"/>
    <w:rsid w:val="00197BC6"/>
    <w:rsid w:val="001A05B9"/>
    <w:rsid w:val="001A0922"/>
    <w:rsid w:val="001A0D78"/>
    <w:rsid w:val="001A1FB7"/>
    <w:rsid w:val="001A3BF8"/>
    <w:rsid w:val="001A4856"/>
    <w:rsid w:val="001A59C1"/>
    <w:rsid w:val="001A657E"/>
    <w:rsid w:val="001A6AF7"/>
    <w:rsid w:val="001A7ED8"/>
    <w:rsid w:val="001B01B3"/>
    <w:rsid w:val="001B14BB"/>
    <w:rsid w:val="001B2413"/>
    <w:rsid w:val="001B3920"/>
    <w:rsid w:val="001B4AE3"/>
    <w:rsid w:val="001C0AAC"/>
    <w:rsid w:val="001C0F08"/>
    <w:rsid w:val="001C1F99"/>
    <w:rsid w:val="001C29C0"/>
    <w:rsid w:val="001C32BE"/>
    <w:rsid w:val="001C44CD"/>
    <w:rsid w:val="001C7D21"/>
    <w:rsid w:val="001D2D44"/>
    <w:rsid w:val="001D5707"/>
    <w:rsid w:val="001D58F6"/>
    <w:rsid w:val="001D66D9"/>
    <w:rsid w:val="001E0071"/>
    <w:rsid w:val="001E251A"/>
    <w:rsid w:val="001E31AF"/>
    <w:rsid w:val="001E47EE"/>
    <w:rsid w:val="001E4894"/>
    <w:rsid w:val="001E5490"/>
    <w:rsid w:val="001E5BFE"/>
    <w:rsid w:val="001E5CD2"/>
    <w:rsid w:val="001E5E63"/>
    <w:rsid w:val="001F1D8A"/>
    <w:rsid w:val="001F4AD0"/>
    <w:rsid w:val="001F4EA6"/>
    <w:rsid w:val="001F4F0E"/>
    <w:rsid w:val="001F527B"/>
    <w:rsid w:val="001F63B8"/>
    <w:rsid w:val="001F7594"/>
    <w:rsid w:val="001F7B04"/>
    <w:rsid w:val="001F7D07"/>
    <w:rsid w:val="002003AF"/>
    <w:rsid w:val="00200EC9"/>
    <w:rsid w:val="00200F55"/>
    <w:rsid w:val="0020104D"/>
    <w:rsid w:val="00201667"/>
    <w:rsid w:val="00201CF0"/>
    <w:rsid w:val="002030C2"/>
    <w:rsid w:val="002045B8"/>
    <w:rsid w:val="00204A9F"/>
    <w:rsid w:val="00205D0A"/>
    <w:rsid w:val="002063FC"/>
    <w:rsid w:val="002064C3"/>
    <w:rsid w:val="00206C60"/>
    <w:rsid w:val="00207DF9"/>
    <w:rsid w:val="00210F8C"/>
    <w:rsid w:val="002117A1"/>
    <w:rsid w:val="0021221C"/>
    <w:rsid w:val="0021349F"/>
    <w:rsid w:val="0021393A"/>
    <w:rsid w:val="00215582"/>
    <w:rsid w:val="00215EDF"/>
    <w:rsid w:val="00215FC3"/>
    <w:rsid w:val="00216087"/>
    <w:rsid w:val="0021667A"/>
    <w:rsid w:val="00217297"/>
    <w:rsid w:val="002175F6"/>
    <w:rsid w:val="0021767A"/>
    <w:rsid w:val="00217A92"/>
    <w:rsid w:val="00217AA5"/>
    <w:rsid w:val="002244AE"/>
    <w:rsid w:val="00224BC3"/>
    <w:rsid w:val="0022625A"/>
    <w:rsid w:val="00226A22"/>
    <w:rsid w:val="002276A7"/>
    <w:rsid w:val="00227E5F"/>
    <w:rsid w:val="00230629"/>
    <w:rsid w:val="0023070B"/>
    <w:rsid w:val="00231ED8"/>
    <w:rsid w:val="00232461"/>
    <w:rsid w:val="0023290A"/>
    <w:rsid w:val="0023590C"/>
    <w:rsid w:val="0023664B"/>
    <w:rsid w:val="002374DC"/>
    <w:rsid w:val="002407F4"/>
    <w:rsid w:val="002432C2"/>
    <w:rsid w:val="0024338E"/>
    <w:rsid w:val="00244266"/>
    <w:rsid w:val="00245A37"/>
    <w:rsid w:val="00250BB4"/>
    <w:rsid w:val="002562CD"/>
    <w:rsid w:val="00256D14"/>
    <w:rsid w:val="0025754C"/>
    <w:rsid w:val="00257641"/>
    <w:rsid w:val="00257B89"/>
    <w:rsid w:val="00260775"/>
    <w:rsid w:val="00260E93"/>
    <w:rsid w:val="002618FD"/>
    <w:rsid w:val="00261959"/>
    <w:rsid w:val="00261C53"/>
    <w:rsid w:val="00261DFC"/>
    <w:rsid w:val="0026202F"/>
    <w:rsid w:val="00263748"/>
    <w:rsid w:val="002644C5"/>
    <w:rsid w:val="002646E4"/>
    <w:rsid w:val="002648B6"/>
    <w:rsid w:val="00264AB8"/>
    <w:rsid w:val="00264C67"/>
    <w:rsid w:val="00264CD0"/>
    <w:rsid w:val="002653C1"/>
    <w:rsid w:val="00265422"/>
    <w:rsid w:val="00265D36"/>
    <w:rsid w:val="002668DC"/>
    <w:rsid w:val="00266BCD"/>
    <w:rsid w:val="0026764A"/>
    <w:rsid w:val="00267928"/>
    <w:rsid w:val="00267DD1"/>
    <w:rsid w:val="002708EE"/>
    <w:rsid w:val="00270BD1"/>
    <w:rsid w:val="002722C0"/>
    <w:rsid w:val="00272486"/>
    <w:rsid w:val="002725E8"/>
    <w:rsid w:val="00275ED3"/>
    <w:rsid w:val="00276F91"/>
    <w:rsid w:val="002772D0"/>
    <w:rsid w:val="002778A0"/>
    <w:rsid w:val="00280BC2"/>
    <w:rsid w:val="0028145C"/>
    <w:rsid w:val="00281959"/>
    <w:rsid w:val="0028367A"/>
    <w:rsid w:val="002838CB"/>
    <w:rsid w:val="00285137"/>
    <w:rsid w:val="00285546"/>
    <w:rsid w:val="0028593E"/>
    <w:rsid w:val="0028756D"/>
    <w:rsid w:val="00290119"/>
    <w:rsid w:val="00290818"/>
    <w:rsid w:val="00291255"/>
    <w:rsid w:val="0029174D"/>
    <w:rsid w:val="00292299"/>
    <w:rsid w:val="002924F0"/>
    <w:rsid w:val="002928F2"/>
    <w:rsid w:val="0029431B"/>
    <w:rsid w:val="002970A2"/>
    <w:rsid w:val="0029769C"/>
    <w:rsid w:val="002A0D3E"/>
    <w:rsid w:val="002A13DD"/>
    <w:rsid w:val="002A1BD9"/>
    <w:rsid w:val="002A2642"/>
    <w:rsid w:val="002A2860"/>
    <w:rsid w:val="002A29E7"/>
    <w:rsid w:val="002A3139"/>
    <w:rsid w:val="002A3852"/>
    <w:rsid w:val="002A3F66"/>
    <w:rsid w:val="002A44B2"/>
    <w:rsid w:val="002A44C1"/>
    <w:rsid w:val="002A4684"/>
    <w:rsid w:val="002A5925"/>
    <w:rsid w:val="002A609D"/>
    <w:rsid w:val="002A62F5"/>
    <w:rsid w:val="002A6FCD"/>
    <w:rsid w:val="002A723C"/>
    <w:rsid w:val="002A7243"/>
    <w:rsid w:val="002A7360"/>
    <w:rsid w:val="002A7691"/>
    <w:rsid w:val="002B1C17"/>
    <w:rsid w:val="002B442B"/>
    <w:rsid w:val="002B586F"/>
    <w:rsid w:val="002C04BB"/>
    <w:rsid w:val="002C1FA3"/>
    <w:rsid w:val="002C2CD7"/>
    <w:rsid w:val="002C388E"/>
    <w:rsid w:val="002C516A"/>
    <w:rsid w:val="002C716B"/>
    <w:rsid w:val="002C7AAD"/>
    <w:rsid w:val="002C7D8B"/>
    <w:rsid w:val="002D1BAA"/>
    <w:rsid w:val="002D38AC"/>
    <w:rsid w:val="002D65A3"/>
    <w:rsid w:val="002E1631"/>
    <w:rsid w:val="002E174B"/>
    <w:rsid w:val="002E1846"/>
    <w:rsid w:val="002E46D3"/>
    <w:rsid w:val="002E48D3"/>
    <w:rsid w:val="002F0D0E"/>
    <w:rsid w:val="002F0D24"/>
    <w:rsid w:val="002F208C"/>
    <w:rsid w:val="002F30A6"/>
    <w:rsid w:val="002F4F0B"/>
    <w:rsid w:val="002F5D01"/>
    <w:rsid w:val="002F69D9"/>
    <w:rsid w:val="002F742E"/>
    <w:rsid w:val="00300F14"/>
    <w:rsid w:val="00303084"/>
    <w:rsid w:val="00304A2B"/>
    <w:rsid w:val="00306813"/>
    <w:rsid w:val="00310185"/>
    <w:rsid w:val="0031083E"/>
    <w:rsid w:val="003126AE"/>
    <w:rsid w:val="00314613"/>
    <w:rsid w:val="00316164"/>
    <w:rsid w:val="0031631D"/>
    <w:rsid w:val="00316490"/>
    <w:rsid w:val="00317D90"/>
    <w:rsid w:val="003204D2"/>
    <w:rsid w:val="003208EC"/>
    <w:rsid w:val="0032299A"/>
    <w:rsid w:val="00322C4B"/>
    <w:rsid w:val="0032370F"/>
    <w:rsid w:val="0032455E"/>
    <w:rsid w:val="00325B20"/>
    <w:rsid w:val="00325C51"/>
    <w:rsid w:val="00331A80"/>
    <w:rsid w:val="00332BF5"/>
    <w:rsid w:val="003332A0"/>
    <w:rsid w:val="003352D5"/>
    <w:rsid w:val="00337ADA"/>
    <w:rsid w:val="00340C37"/>
    <w:rsid w:val="0034258B"/>
    <w:rsid w:val="00343DE0"/>
    <w:rsid w:val="00343F51"/>
    <w:rsid w:val="00344002"/>
    <w:rsid w:val="003452AA"/>
    <w:rsid w:val="003453A1"/>
    <w:rsid w:val="00345CA5"/>
    <w:rsid w:val="003473B5"/>
    <w:rsid w:val="00350563"/>
    <w:rsid w:val="0035078B"/>
    <w:rsid w:val="003507DA"/>
    <w:rsid w:val="00350A6B"/>
    <w:rsid w:val="00350ECA"/>
    <w:rsid w:val="0035252B"/>
    <w:rsid w:val="00354005"/>
    <w:rsid w:val="003540E6"/>
    <w:rsid w:val="0035466D"/>
    <w:rsid w:val="0035556A"/>
    <w:rsid w:val="0035649B"/>
    <w:rsid w:val="00356E3E"/>
    <w:rsid w:val="003617B2"/>
    <w:rsid w:val="003630FC"/>
    <w:rsid w:val="0036532B"/>
    <w:rsid w:val="00367304"/>
    <w:rsid w:val="00367FAC"/>
    <w:rsid w:val="0037231A"/>
    <w:rsid w:val="00374FF8"/>
    <w:rsid w:val="0037601E"/>
    <w:rsid w:val="0038262B"/>
    <w:rsid w:val="0038279F"/>
    <w:rsid w:val="00383056"/>
    <w:rsid w:val="0038407E"/>
    <w:rsid w:val="00384ADC"/>
    <w:rsid w:val="00384BA3"/>
    <w:rsid w:val="00390007"/>
    <w:rsid w:val="00390726"/>
    <w:rsid w:val="0039081C"/>
    <w:rsid w:val="0039220D"/>
    <w:rsid w:val="0039255A"/>
    <w:rsid w:val="00394D7F"/>
    <w:rsid w:val="00395815"/>
    <w:rsid w:val="00395E67"/>
    <w:rsid w:val="003963A2"/>
    <w:rsid w:val="003A2A36"/>
    <w:rsid w:val="003A2ADC"/>
    <w:rsid w:val="003A374E"/>
    <w:rsid w:val="003A59A1"/>
    <w:rsid w:val="003A6800"/>
    <w:rsid w:val="003A7A2D"/>
    <w:rsid w:val="003B2F00"/>
    <w:rsid w:val="003B3A30"/>
    <w:rsid w:val="003B3EA9"/>
    <w:rsid w:val="003B5677"/>
    <w:rsid w:val="003B6713"/>
    <w:rsid w:val="003B68E3"/>
    <w:rsid w:val="003B7498"/>
    <w:rsid w:val="003C13E0"/>
    <w:rsid w:val="003C1AEA"/>
    <w:rsid w:val="003C5ED8"/>
    <w:rsid w:val="003C67AD"/>
    <w:rsid w:val="003C74E3"/>
    <w:rsid w:val="003D1A9B"/>
    <w:rsid w:val="003D2DBA"/>
    <w:rsid w:val="003D3375"/>
    <w:rsid w:val="003D38FC"/>
    <w:rsid w:val="003D46B8"/>
    <w:rsid w:val="003D4E34"/>
    <w:rsid w:val="003D5728"/>
    <w:rsid w:val="003D616C"/>
    <w:rsid w:val="003D65A0"/>
    <w:rsid w:val="003E03D2"/>
    <w:rsid w:val="003E08AD"/>
    <w:rsid w:val="003E215A"/>
    <w:rsid w:val="003E41E8"/>
    <w:rsid w:val="003E4F2D"/>
    <w:rsid w:val="003E57D3"/>
    <w:rsid w:val="003E776E"/>
    <w:rsid w:val="003F1888"/>
    <w:rsid w:val="003F269B"/>
    <w:rsid w:val="003F37AF"/>
    <w:rsid w:val="003F4076"/>
    <w:rsid w:val="003F558E"/>
    <w:rsid w:val="003F76F9"/>
    <w:rsid w:val="00402149"/>
    <w:rsid w:val="004021C5"/>
    <w:rsid w:val="004034FB"/>
    <w:rsid w:val="00403ABB"/>
    <w:rsid w:val="00403AC9"/>
    <w:rsid w:val="00404118"/>
    <w:rsid w:val="0040480F"/>
    <w:rsid w:val="00407010"/>
    <w:rsid w:val="00407247"/>
    <w:rsid w:val="00407627"/>
    <w:rsid w:val="004078C7"/>
    <w:rsid w:val="00410005"/>
    <w:rsid w:val="00411C85"/>
    <w:rsid w:val="00412E56"/>
    <w:rsid w:val="004141AC"/>
    <w:rsid w:val="00414C12"/>
    <w:rsid w:val="00414ECB"/>
    <w:rsid w:val="00414F9D"/>
    <w:rsid w:val="00416BAC"/>
    <w:rsid w:val="00420265"/>
    <w:rsid w:val="00420EDB"/>
    <w:rsid w:val="00421436"/>
    <w:rsid w:val="0042539D"/>
    <w:rsid w:val="00430369"/>
    <w:rsid w:val="00430772"/>
    <w:rsid w:val="00430960"/>
    <w:rsid w:val="00430A7C"/>
    <w:rsid w:val="0043138E"/>
    <w:rsid w:val="00431B8F"/>
    <w:rsid w:val="00433264"/>
    <w:rsid w:val="0043565A"/>
    <w:rsid w:val="00435D66"/>
    <w:rsid w:val="00437B42"/>
    <w:rsid w:val="0044128D"/>
    <w:rsid w:val="004427FB"/>
    <w:rsid w:val="00445970"/>
    <w:rsid w:val="004474B0"/>
    <w:rsid w:val="004474F8"/>
    <w:rsid w:val="00456802"/>
    <w:rsid w:val="004574D0"/>
    <w:rsid w:val="004577A6"/>
    <w:rsid w:val="00457A6B"/>
    <w:rsid w:val="0046072D"/>
    <w:rsid w:val="00460BEF"/>
    <w:rsid w:val="00462666"/>
    <w:rsid w:val="00463148"/>
    <w:rsid w:val="00463590"/>
    <w:rsid w:val="00463A7A"/>
    <w:rsid w:val="00465991"/>
    <w:rsid w:val="00465ADF"/>
    <w:rsid w:val="00465FAD"/>
    <w:rsid w:val="00466078"/>
    <w:rsid w:val="00466444"/>
    <w:rsid w:val="00466BD3"/>
    <w:rsid w:val="00466CC7"/>
    <w:rsid w:val="00466F69"/>
    <w:rsid w:val="004709FD"/>
    <w:rsid w:val="00472004"/>
    <w:rsid w:val="0047254F"/>
    <w:rsid w:val="00472F42"/>
    <w:rsid w:val="004734D5"/>
    <w:rsid w:val="00474D7D"/>
    <w:rsid w:val="00475CF3"/>
    <w:rsid w:val="004777F4"/>
    <w:rsid w:val="00482004"/>
    <w:rsid w:val="00482DD9"/>
    <w:rsid w:val="00484F76"/>
    <w:rsid w:val="0048550B"/>
    <w:rsid w:val="00487CEF"/>
    <w:rsid w:val="00491354"/>
    <w:rsid w:val="00492C5A"/>
    <w:rsid w:val="00493A73"/>
    <w:rsid w:val="00494A9B"/>
    <w:rsid w:val="004954A6"/>
    <w:rsid w:val="00496329"/>
    <w:rsid w:val="00496C66"/>
    <w:rsid w:val="00496F40"/>
    <w:rsid w:val="00497350"/>
    <w:rsid w:val="004976B0"/>
    <w:rsid w:val="004A1528"/>
    <w:rsid w:val="004A3D91"/>
    <w:rsid w:val="004A5B4B"/>
    <w:rsid w:val="004A62CB"/>
    <w:rsid w:val="004A7092"/>
    <w:rsid w:val="004B18B1"/>
    <w:rsid w:val="004B2026"/>
    <w:rsid w:val="004B253C"/>
    <w:rsid w:val="004B28D5"/>
    <w:rsid w:val="004B352A"/>
    <w:rsid w:val="004B35A4"/>
    <w:rsid w:val="004B41E6"/>
    <w:rsid w:val="004B5DA5"/>
    <w:rsid w:val="004B65AC"/>
    <w:rsid w:val="004B669D"/>
    <w:rsid w:val="004B6A5F"/>
    <w:rsid w:val="004C1083"/>
    <w:rsid w:val="004C2634"/>
    <w:rsid w:val="004C3B6D"/>
    <w:rsid w:val="004C3D89"/>
    <w:rsid w:val="004C5C63"/>
    <w:rsid w:val="004C6778"/>
    <w:rsid w:val="004C720D"/>
    <w:rsid w:val="004D0E4C"/>
    <w:rsid w:val="004D2FEB"/>
    <w:rsid w:val="004D4114"/>
    <w:rsid w:val="004D43B2"/>
    <w:rsid w:val="004D4770"/>
    <w:rsid w:val="004D5115"/>
    <w:rsid w:val="004D7208"/>
    <w:rsid w:val="004D7648"/>
    <w:rsid w:val="004E1077"/>
    <w:rsid w:val="004E1781"/>
    <w:rsid w:val="004E2049"/>
    <w:rsid w:val="004E2070"/>
    <w:rsid w:val="004E5F81"/>
    <w:rsid w:val="004E747A"/>
    <w:rsid w:val="004F0EBC"/>
    <w:rsid w:val="004F1B7B"/>
    <w:rsid w:val="004F230D"/>
    <w:rsid w:val="004F4194"/>
    <w:rsid w:val="00502F72"/>
    <w:rsid w:val="00503C9F"/>
    <w:rsid w:val="00505E1F"/>
    <w:rsid w:val="005078F0"/>
    <w:rsid w:val="005100C9"/>
    <w:rsid w:val="00511459"/>
    <w:rsid w:val="005114D5"/>
    <w:rsid w:val="005119FA"/>
    <w:rsid w:val="00511D9F"/>
    <w:rsid w:val="0051279F"/>
    <w:rsid w:val="00512900"/>
    <w:rsid w:val="00514665"/>
    <w:rsid w:val="00514AD1"/>
    <w:rsid w:val="0052070D"/>
    <w:rsid w:val="005211C4"/>
    <w:rsid w:val="005212B5"/>
    <w:rsid w:val="00521D1F"/>
    <w:rsid w:val="00522497"/>
    <w:rsid w:val="0052265E"/>
    <w:rsid w:val="00522F33"/>
    <w:rsid w:val="0052578F"/>
    <w:rsid w:val="005262EC"/>
    <w:rsid w:val="00526450"/>
    <w:rsid w:val="00526494"/>
    <w:rsid w:val="00526EC9"/>
    <w:rsid w:val="00527839"/>
    <w:rsid w:val="0053056C"/>
    <w:rsid w:val="005306C4"/>
    <w:rsid w:val="00530F58"/>
    <w:rsid w:val="00531FFB"/>
    <w:rsid w:val="00532299"/>
    <w:rsid w:val="005338E7"/>
    <w:rsid w:val="0053414E"/>
    <w:rsid w:val="005362FC"/>
    <w:rsid w:val="005431A2"/>
    <w:rsid w:val="005438B4"/>
    <w:rsid w:val="0054523A"/>
    <w:rsid w:val="005455E0"/>
    <w:rsid w:val="005458B3"/>
    <w:rsid w:val="00546929"/>
    <w:rsid w:val="00550543"/>
    <w:rsid w:val="005514D4"/>
    <w:rsid w:val="0055166C"/>
    <w:rsid w:val="00554A7C"/>
    <w:rsid w:val="005572E7"/>
    <w:rsid w:val="005602B6"/>
    <w:rsid w:val="00560A8B"/>
    <w:rsid w:val="00561EBA"/>
    <w:rsid w:val="0056789A"/>
    <w:rsid w:val="00567CAB"/>
    <w:rsid w:val="00571029"/>
    <w:rsid w:val="00572218"/>
    <w:rsid w:val="00573094"/>
    <w:rsid w:val="0057388D"/>
    <w:rsid w:val="005746F7"/>
    <w:rsid w:val="00574BAF"/>
    <w:rsid w:val="00574BCF"/>
    <w:rsid w:val="00575E70"/>
    <w:rsid w:val="00577193"/>
    <w:rsid w:val="00577211"/>
    <w:rsid w:val="00581014"/>
    <w:rsid w:val="005838C8"/>
    <w:rsid w:val="00585B1C"/>
    <w:rsid w:val="00586039"/>
    <w:rsid w:val="005866B1"/>
    <w:rsid w:val="00586EC7"/>
    <w:rsid w:val="00587833"/>
    <w:rsid w:val="00591501"/>
    <w:rsid w:val="005928B1"/>
    <w:rsid w:val="00592D83"/>
    <w:rsid w:val="00593B13"/>
    <w:rsid w:val="005949E1"/>
    <w:rsid w:val="00596A6C"/>
    <w:rsid w:val="0059737A"/>
    <w:rsid w:val="005976D2"/>
    <w:rsid w:val="00597B5C"/>
    <w:rsid w:val="005A23D2"/>
    <w:rsid w:val="005A246D"/>
    <w:rsid w:val="005A4D94"/>
    <w:rsid w:val="005A5443"/>
    <w:rsid w:val="005A54C0"/>
    <w:rsid w:val="005B4B5B"/>
    <w:rsid w:val="005B5503"/>
    <w:rsid w:val="005B7BE2"/>
    <w:rsid w:val="005C015C"/>
    <w:rsid w:val="005C2D47"/>
    <w:rsid w:val="005C3897"/>
    <w:rsid w:val="005C5959"/>
    <w:rsid w:val="005C6467"/>
    <w:rsid w:val="005C6AEA"/>
    <w:rsid w:val="005C7811"/>
    <w:rsid w:val="005D24E7"/>
    <w:rsid w:val="005D4598"/>
    <w:rsid w:val="005D641B"/>
    <w:rsid w:val="005D67CB"/>
    <w:rsid w:val="005E0517"/>
    <w:rsid w:val="005E09A9"/>
    <w:rsid w:val="005E1D12"/>
    <w:rsid w:val="005E29DE"/>
    <w:rsid w:val="005E4ACC"/>
    <w:rsid w:val="005E5571"/>
    <w:rsid w:val="005E5B7F"/>
    <w:rsid w:val="005E7C78"/>
    <w:rsid w:val="005F080E"/>
    <w:rsid w:val="005F1EA3"/>
    <w:rsid w:val="005F26F8"/>
    <w:rsid w:val="005F27F2"/>
    <w:rsid w:val="005F4912"/>
    <w:rsid w:val="005F491F"/>
    <w:rsid w:val="005F4D77"/>
    <w:rsid w:val="005F5076"/>
    <w:rsid w:val="005F52B8"/>
    <w:rsid w:val="00600BFF"/>
    <w:rsid w:val="00602324"/>
    <w:rsid w:val="006023BC"/>
    <w:rsid w:val="00602554"/>
    <w:rsid w:val="00602F4C"/>
    <w:rsid w:val="006046A7"/>
    <w:rsid w:val="0060518B"/>
    <w:rsid w:val="00605C85"/>
    <w:rsid w:val="0061056A"/>
    <w:rsid w:val="006139F1"/>
    <w:rsid w:val="0061429F"/>
    <w:rsid w:val="0061516E"/>
    <w:rsid w:val="00616310"/>
    <w:rsid w:val="006173CE"/>
    <w:rsid w:val="00617BDE"/>
    <w:rsid w:val="00621ECA"/>
    <w:rsid w:val="0062211D"/>
    <w:rsid w:val="00622DE7"/>
    <w:rsid w:val="006233EC"/>
    <w:rsid w:val="0062545F"/>
    <w:rsid w:val="006256FE"/>
    <w:rsid w:val="00625C1F"/>
    <w:rsid w:val="006272E0"/>
    <w:rsid w:val="00630157"/>
    <w:rsid w:val="0063085D"/>
    <w:rsid w:val="006310D0"/>
    <w:rsid w:val="00631576"/>
    <w:rsid w:val="00632812"/>
    <w:rsid w:val="00633100"/>
    <w:rsid w:val="006344F7"/>
    <w:rsid w:val="00634D2D"/>
    <w:rsid w:val="00635064"/>
    <w:rsid w:val="00640A79"/>
    <w:rsid w:val="00641D00"/>
    <w:rsid w:val="00642E6B"/>
    <w:rsid w:val="006456D4"/>
    <w:rsid w:val="00645C4E"/>
    <w:rsid w:val="00646610"/>
    <w:rsid w:val="006470BA"/>
    <w:rsid w:val="0065099E"/>
    <w:rsid w:val="00650E2B"/>
    <w:rsid w:val="00650E8A"/>
    <w:rsid w:val="00652B1F"/>
    <w:rsid w:val="00652B47"/>
    <w:rsid w:val="00654127"/>
    <w:rsid w:val="00654776"/>
    <w:rsid w:val="00655B39"/>
    <w:rsid w:val="00661DBC"/>
    <w:rsid w:val="00664843"/>
    <w:rsid w:val="00664B93"/>
    <w:rsid w:val="00667628"/>
    <w:rsid w:val="0066768B"/>
    <w:rsid w:val="00667FE9"/>
    <w:rsid w:val="006708ED"/>
    <w:rsid w:val="00671268"/>
    <w:rsid w:val="00671DF3"/>
    <w:rsid w:val="006746D3"/>
    <w:rsid w:val="00674C4B"/>
    <w:rsid w:val="00674F6D"/>
    <w:rsid w:val="0067640A"/>
    <w:rsid w:val="00676E83"/>
    <w:rsid w:val="00680974"/>
    <w:rsid w:val="0068161B"/>
    <w:rsid w:val="00682594"/>
    <w:rsid w:val="00685AC2"/>
    <w:rsid w:val="00685CFD"/>
    <w:rsid w:val="0068766E"/>
    <w:rsid w:val="00690842"/>
    <w:rsid w:val="00694C61"/>
    <w:rsid w:val="00696DA5"/>
    <w:rsid w:val="00697226"/>
    <w:rsid w:val="00697643"/>
    <w:rsid w:val="006A0856"/>
    <w:rsid w:val="006A18A8"/>
    <w:rsid w:val="006A1B2C"/>
    <w:rsid w:val="006A26EC"/>
    <w:rsid w:val="006A293F"/>
    <w:rsid w:val="006A340E"/>
    <w:rsid w:val="006A63B2"/>
    <w:rsid w:val="006B08F5"/>
    <w:rsid w:val="006B26E6"/>
    <w:rsid w:val="006B2789"/>
    <w:rsid w:val="006B4EFE"/>
    <w:rsid w:val="006B77EE"/>
    <w:rsid w:val="006B7A95"/>
    <w:rsid w:val="006C289A"/>
    <w:rsid w:val="006C32A2"/>
    <w:rsid w:val="006C50AD"/>
    <w:rsid w:val="006C5296"/>
    <w:rsid w:val="006C59FC"/>
    <w:rsid w:val="006C699A"/>
    <w:rsid w:val="006D1053"/>
    <w:rsid w:val="006D2106"/>
    <w:rsid w:val="006D2937"/>
    <w:rsid w:val="006D44A8"/>
    <w:rsid w:val="006D6F39"/>
    <w:rsid w:val="006E01E1"/>
    <w:rsid w:val="006E1427"/>
    <w:rsid w:val="006E16A8"/>
    <w:rsid w:val="006E1A41"/>
    <w:rsid w:val="006E303A"/>
    <w:rsid w:val="006E35E0"/>
    <w:rsid w:val="006E36AB"/>
    <w:rsid w:val="006E374F"/>
    <w:rsid w:val="006E5E2A"/>
    <w:rsid w:val="006E66FC"/>
    <w:rsid w:val="006F4C29"/>
    <w:rsid w:val="006F5A3E"/>
    <w:rsid w:val="006F5E51"/>
    <w:rsid w:val="006F7B5B"/>
    <w:rsid w:val="00704034"/>
    <w:rsid w:val="00705545"/>
    <w:rsid w:val="00706597"/>
    <w:rsid w:val="007101C7"/>
    <w:rsid w:val="00710BC4"/>
    <w:rsid w:val="007121F9"/>
    <w:rsid w:val="007127FD"/>
    <w:rsid w:val="007143BE"/>
    <w:rsid w:val="00714C38"/>
    <w:rsid w:val="00714D50"/>
    <w:rsid w:val="00715898"/>
    <w:rsid w:val="00715A35"/>
    <w:rsid w:val="0071706B"/>
    <w:rsid w:val="00717B59"/>
    <w:rsid w:val="0072059F"/>
    <w:rsid w:val="007228AD"/>
    <w:rsid w:val="007228F8"/>
    <w:rsid w:val="00724DF2"/>
    <w:rsid w:val="00726828"/>
    <w:rsid w:val="007268C9"/>
    <w:rsid w:val="00726DC7"/>
    <w:rsid w:val="00727670"/>
    <w:rsid w:val="007276E1"/>
    <w:rsid w:val="00730708"/>
    <w:rsid w:val="00730CE6"/>
    <w:rsid w:val="00730F2C"/>
    <w:rsid w:val="00731508"/>
    <w:rsid w:val="00731636"/>
    <w:rsid w:val="00731BFC"/>
    <w:rsid w:val="007323DF"/>
    <w:rsid w:val="007323F5"/>
    <w:rsid w:val="0073247D"/>
    <w:rsid w:val="00733BFF"/>
    <w:rsid w:val="0073414D"/>
    <w:rsid w:val="007366B9"/>
    <w:rsid w:val="007371CE"/>
    <w:rsid w:val="00737D1A"/>
    <w:rsid w:val="00741F9D"/>
    <w:rsid w:val="007425B0"/>
    <w:rsid w:val="007451AC"/>
    <w:rsid w:val="007463B8"/>
    <w:rsid w:val="007471F3"/>
    <w:rsid w:val="00747D3E"/>
    <w:rsid w:val="007519D8"/>
    <w:rsid w:val="00751C70"/>
    <w:rsid w:val="00752C85"/>
    <w:rsid w:val="007535EB"/>
    <w:rsid w:val="007538CE"/>
    <w:rsid w:val="007551F8"/>
    <w:rsid w:val="0075629E"/>
    <w:rsid w:val="00756396"/>
    <w:rsid w:val="007563AD"/>
    <w:rsid w:val="0075748F"/>
    <w:rsid w:val="00757CD1"/>
    <w:rsid w:val="007618C0"/>
    <w:rsid w:val="00763D71"/>
    <w:rsid w:val="00764256"/>
    <w:rsid w:val="0076432A"/>
    <w:rsid w:val="00767265"/>
    <w:rsid w:val="00770100"/>
    <w:rsid w:val="00772E15"/>
    <w:rsid w:val="0077365D"/>
    <w:rsid w:val="00773EEB"/>
    <w:rsid w:val="00773F01"/>
    <w:rsid w:val="007748CB"/>
    <w:rsid w:val="007751B2"/>
    <w:rsid w:val="00775ACB"/>
    <w:rsid w:val="00781E35"/>
    <w:rsid w:val="0078479B"/>
    <w:rsid w:val="00791AF5"/>
    <w:rsid w:val="00792D20"/>
    <w:rsid w:val="007931EE"/>
    <w:rsid w:val="0079598B"/>
    <w:rsid w:val="00797733"/>
    <w:rsid w:val="00797C16"/>
    <w:rsid w:val="007A0D80"/>
    <w:rsid w:val="007A3542"/>
    <w:rsid w:val="007A4FCD"/>
    <w:rsid w:val="007A516A"/>
    <w:rsid w:val="007A752F"/>
    <w:rsid w:val="007B039D"/>
    <w:rsid w:val="007B0A01"/>
    <w:rsid w:val="007B103D"/>
    <w:rsid w:val="007B36F5"/>
    <w:rsid w:val="007B4372"/>
    <w:rsid w:val="007B48E4"/>
    <w:rsid w:val="007B54B1"/>
    <w:rsid w:val="007B5D69"/>
    <w:rsid w:val="007B610B"/>
    <w:rsid w:val="007B7500"/>
    <w:rsid w:val="007B773B"/>
    <w:rsid w:val="007C0219"/>
    <w:rsid w:val="007C130D"/>
    <w:rsid w:val="007C15EC"/>
    <w:rsid w:val="007C23EE"/>
    <w:rsid w:val="007C4502"/>
    <w:rsid w:val="007C536D"/>
    <w:rsid w:val="007C5EE4"/>
    <w:rsid w:val="007C65D4"/>
    <w:rsid w:val="007C78E3"/>
    <w:rsid w:val="007D07B6"/>
    <w:rsid w:val="007D08A7"/>
    <w:rsid w:val="007D0D7E"/>
    <w:rsid w:val="007D1A0C"/>
    <w:rsid w:val="007D23EC"/>
    <w:rsid w:val="007D6871"/>
    <w:rsid w:val="007E177F"/>
    <w:rsid w:val="007E550F"/>
    <w:rsid w:val="007E5B96"/>
    <w:rsid w:val="007E61F4"/>
    <w:rsid w:val="007E73E2"/>
    <w:rsid w:val="007F126C"/>
    <w:rsid w:val="007F27D3"/>
    <w:rsid w:val="007F39D3"/>
    <w:rsid w:val="007F42F1"/>
    <w:rsid w:val="007F6338"/>
    <w:rsid w:val="007F77AE"/>
    <w:rsid w:val="00800621"/>
    <w:rsid w:val="00803002"/>
    <w:rsid w:val="008032C3"/>
    <w:rsid w:val="0080350A"/>
    <w:rsid w:val="008041DF"/>
    <w:rsid w:val="0081123F"/>
    <w:rsid w:val="0081174A"/>
    <w:rsid w:val="0081194A"/>
    <w:rsid w:val="00816672"/>
    <w:rsid w:val="00817CD0"/>
    <w:rsid w:val="00821E69"/>
    <w:rsid w:val="00823B83"/>
    <w:rsid w:val="008248A5"/>
    <w:rsid w:val="00824921"/>
    <w:rsid w:val="0082515B"/>
    <w:rsid w:val="00826250"/>
    <w:rsid w:val="008272BA"/>
    <w:rsid w:val="00830F87"/>
    <w:rsid w:val="00832D14"/>
    <w:rsid w:val="00833AFC"/>
    <w:rsid w:val="00834DC9"/>
    <w:rsid w:val="00834E0A"/>
    <w:rsid w:val="00836721"/>
    <w:rsid w:val="008372DA"/>
    <w:rsid w:val="00837C51"/>
    <w:rsid w:val="00840893"/>
    <w:rsid w:val="00840D62"/>
    <w:rsid w:val="00840FA7"/>
    <w:rsid w:val="0084364D"/>
    <w:rsid w:val="00850262"/>
    <w:rsid w:val="00851509"/>
    <w:rsid w:val="00851C3D"/>
    <w:rsid w:val="00851F04"/>
    <w:rsid w:val="008523C3"/>
    <w:rsid w:val="00853598"/>
    <w:rsid w:val="00853A6A"/>
    <w:rsid w:val="008561B4"/>
    <w:rsid w:val="00856DCA"/>
    <w:rsid w:val="00857A24"/>
    <w:rsid w:val="00862C44"/>
    <w:rsid w:val="0086355A"/>
    <w:rsid w:val="0086356F"/>
    <w:rsid w:val="00865969"/>
    <w:rsid w:val="00866444"/>
    <w:rsid w:val="00867177"/>
    <w:rsid w:val="0087233F"/>
    <w:rsid w:val="0087238C"/>
    <w:rsid w:val="008723BB"/>
    <w:rsid w:val="008767B5"/>
    <w:rsid w:val="00877938"/>
    <w:rsid w:val="00880343"/>
    <w:rsid w:val="00882DD4"/>
    <w:rsid w:val="00886783"/>
    <w:rsid w:val="00890009"/>
    <w:rsid w:val="008901A3"/>
    <w:rsid w:val="0089044C"/>
    <w:rsid w:val="0089069F"/>
    <w:rsid w:val="008906A4"/>
    <w:rsid w:val="00891481"/>
    <w:rsid w:val="008929ED"/>
    <w:rsid w:val="00893F72"/>
    <w:rsid w:val="00894439"/>
    <w:rsid w:val="00895AB7"/>
    <w:rsid w:val="00897BA7"/>
    <w:rsid w:val="008A0369"/>
    <w:rsid w:val="008A0A31"/>
    <w:rsid w:val="008A4CEC"/>
    <w:rsid w:val="008A5721"/>
    <w:rsid w:val="008A5E10"/>
    <w:rsid w:val="008A7226"/>
    <w:rsid w:val="008B324A"/>
    <w:rsid w:val="008B3678"/>
    <w:rsid w:val="008B53F9"/>
    <w:rsid w:val="008B54CA"/>
    <w:rsid w:val="008B5D85"/>
    <w:rsid w:val="008B651E"/>
    <w:rsid w:val="008B6CE8"/>
    <w:rsid w:val="008C0257"/>
    <w:rsid w:val="008C245A"/>
    <w:rsid w:val="008C31FA"/>
    <w:rsid w:val="008C324C"/>
    <w:rsid w:val="008C33C6"/>
    <w:rsid w:val="008C34E4"/>
    <w:rsid w:val="008C3D0E"/>
    <w:rsid w:val="008C7C20"/>
    <w:rsid w:val="008D00C5"/>
    <w:rsid w:val="008D1460"/>
    <w:rsid w:val="008D1F99"/>
    <w:rsid w:val="008D7986"/>
    <w:rsid w:val="008E2D6D"/>
    <w:rsid w:val="008E3357"/>
    <w:rsid w:val="008E420A"/>
    <w:rsid w:val="008E497A"/>
    <w:rsid w:val="008E503B"/>
    <w:rsid w:val="008E635A"/>
    <w:rsid w:val="008F0AA3"/>
    <w:rsid w:val="008F1B4E"/>
    <w:rsid w:val="008F47BD"/>
    <w:rsid w:val="008F5F5E"/>
    <w:rsid w:val="009002D8"/>
    <w:rsid w:val="009048CC"/>
    <w:rsid w:val="009052B8"/>
    <w:rsid w:val="00906F01"/>
    <w:rsid w:val="0090796E"/>
    <w:rsid w:val="00911F65"/>
    <w:rsid w:val="009128BD"/>
    <w:rsid w:val="00912D0D"/>
    <w:rsid w:val="00915353"/>
    <w:rsid w:val="0091767F"/>
    <w:rsid w:val="009179B5"/>
    <w:rsid w:val="00917C51"/>
    <w:rsid w:val="00917D7B"/>
    <w:rsid w:val="0092281D"/>
    <w:rsid w:val="00922C06"/>
    <w:rsid w:val="009236AF"/>
    <w:rsid w:val="00924675"/>
    <w:rsid w:val="009253A2"/>
    <w:rsid w:val="00926E77"/>
    <w:rsid w:val="00930458"/>
    <w:rsid w:val="009308F7"/>
    <w:rsid w:val="00931103"/>
    <w:rsid w:val="00935A64"/>
    <w:rsid w:val="009378F8"/>
    <w:rsid w:val="00941B1C"/>
    <w:rsid w:val="00941F6A"/>
    <w:rsid w:val="00943208"/>
    <w:rsid w:val="00944AB5"/>
    <w:rsid w:val="00944DD2"/>
    <w:rsid w:val="00945772"/>
    <w:rsid w:val="0094586E"/>
    <w:rsid w:val="009466F7"/>
    <w:rsid w:val="00946992"/>
    <w:rsid w:val="00946D03"/>
    <w:rsid w:val="009505EE"/>
    <w:rsid w:val="00952725"/>
    <w:rsid w:val="009545F5"/>
    <w:rsid w:val="00955899"/>
    <w:rsid w:val="00955C30"/>
    <w:rsid w:val="00955D0E"/>
    <w:rsid w:val="009563DA"/>
    <w:rsid w:val="00956C5D"/>
    <w:rsid w:val="00961AFF"/>
    <w:rsid w:val="0096242D"/>
    <w:rsid w:val="00963066"/>
    <w:rsid w:val="00964CDF"/>
    <w:rsid w:val="00965420"/>
    <w:rsid w:val="009675A7"/>
    <w:rsid w:val="00967A50"/>
    <w:rsid w:val="009715F4"/>
    <w:rsid w:val="009719DB"/>
    <w:rsid w:val="00973AAF"/>
    <w:rsid w:val="00976BD9"/>
    <w:rsid w:val="0097776B"/>
    <w:rsid w:val="0098247F"/>
    <w:rsid w:val="00982747"/>
    <w:rsid w:val="0098404C"/>
    <w:rsid w:val="0098784C"/>
    <w:rsid w:val="009879F0"/>
    <w:rsid w:val="00990DF3"/>
    <w:rsid w:val="00991281"/>
    <w:rsid w:val="00993A44"/>
    <w:rsid w:val="00993E92"/>
    <w:rsid w:val="00995273"/>
    <w:rsid w:val="00995622"/>
    <w:rsid w:val="009959D5"/>
    <w:rsid w:val="00997762"/>
    <w:rsid w:val="009A115D"/>
    <w:rsid w:val="009A30FC"/>
    <w:rsid w:val="009A3963"/>
    <w:rsid w:val="009A552B"/>
    <w:rsid w:val="009A64B8"/>
    <w:rsid w:val="009A7792"/>
    <w:rsid w:val="009A7DA7"/>
    <w:rsid w:val="009B2405"/>
    <w:rsid w:val="009B2BBC"/>
    <w:rsid w:val="009B2D22"/>
    <w:rsid w:val="009B2DBA"/>
    <w:rsid w:val="009B34DD"/>
    <w:rsid w:val="009B4321"/>
    <w:rsid w:val="009B47EE"/>
    <w:rsid w:val="009C06FC"/>
    <w:rsid w:val="009C2EE2"/>
    <w:rsid w:val="009C7CBF"/>
    <w:rsid w:val="009C7F7E"/>
    <w:rsid w:val="009D02B4"/>
    <w:rsid w:val="009D07BA"/>
    <w:rsid w:val="009D0C98"/>
    <w:rsid w:val="009D1DA2"/>
    <w:rsid w:val="009D361E"/>
    <w:rsid w:val="009D388A"/>
    <w:rsid w:val="009D48C1"/>
    <w:rsid w:val="009D5B2E"/>
    <w:rsid w:val="009D600A"/>
    <w:rsid w:val="009D623F"/>
    <w:rsid w:val="009D6FD2"/>
    <w:rsid w:val="009E4880"/>
    <w:rsid w:val="009E4A1B"/>
    <w:rsid w:val="009E5A93"/>
    <w:rsid w:val="009E5D65"/>
    <w:rsid w:val="009F1B04"/>
    <w:rsid w:val="009F243A"/>
    <w:rsid w:val="009F4950"/>
    <w:rsid w:val="009F524B"/>
    <w:rsid w:val="009F53FF"/>
    <w:rsid w:val="009F57F1"/>
    <w:rsid w:val="009F596F"/>
    <w:rsid w:val="009F70C4"/>
    <w:rsid w:val="009F7EF1"/>
    <w:rsid w:val="00A0059C"/>
    <w:rsid w:val="00A010AB"/>
    <w:rsid w:val="00A017CF"/>
    <w:rsid w:val="00A01B03"/>
    <w:rsid w:val="00A01B76"/>
    <w:rsid w:val="00A01BB6"/>
    <w:rsid w:val="00A0279C"/>
    <w:rsid w:val="00A027DA"/>
    <w:rsid w:val="00A053A5"/>
    <w:rsid w:val="00A054F5"/>
    <w:rsid w:val="00A05924"/>
    <w:rsid w:val="00A06010"/>
    <w:rsid w:val="00A0673D"/>
    <w:rsid w:val="00A06823"/>
    <w:rsid w:val="00A06A14"/>
    <w:rsid w:val="00A06ACC"/>
    <w:rsid w:val="00A07A91"/>
    <w:rsid w:val="00A07B9E"/>
    <w:rsid w:val="00A07D74"/>
    <w:rsid w:val="00A10E15"/>
    <w:rsid w:val="00A10E28"/>
    <w:rsid w:val="00A11478"/>
    <w:rsid w:val="00A11827"/>
    <w:rsid w:val="00A12726"/>
    <w:rsid w:val="00A13104"/>
    <w:rsid w:val="00A1328E"/>
    <w:rsid w:val="00A140FE"/>
    <w:rsid w:val="00A15029"/>
    <w:rsid w:val="00A15663"/>
    <w:rsid w:val="00A15B76"/>
    <w:rsid w:val="00A2027E"/>
    <w:rsid w:val="00A21F96"/>
    <w:rsid w:val="00A236F4"/>
    <w:rsid w:val="00A23A31"/>
    <w:rsid w:val="00A26143"/>
    <w:rsid w:val="00A269A0"/>
    <w:rsid w:val="00A26A7B"/>
    <w:rsid w:val="00A30083"/>
    <w:rsid w:val="00A315E1"/>
    <w:rsid w:val="00A31C54"/>
    <w:rsid w:val="00A323AB"/>
    <w:rsid w:val="00A3356E"/>
    <w:rsid w:val="00A3399A"/>
    <w:rsid w:val="00A33E96"/>
    <w:rsid w:val="00A3465F"/>
    <w:rsid w:val="00A34E00"/>
    <w:rsid w:val="00A34EED"/>
    <w:rsid w:val="00A361B4"/>
    <w:rsid w:val="00A3687E"/>
    <w:rsid w:val="00A36904"/>
    <w:rsid w:val="00A40B1F"/>
    <w:rsid w:val="00A412C9"/>
    <w:rsid w:val="00A42022"/>
    <w:rsid w:val="00A429F6"/>
    <w:rsid w:val="00A465C1"/>
    <w:rsid w:val="00A469B5"/>
    <w:rsid w:val="00A47E24"/>
    <w:rsid w:val="00A51BEF"/>
    <w:rsid w:val="00A52FCA"/>
    <w:rsid w:val="00A53E96"/>
    <w:rsid w:val="00A54146"/>
    <w:rsid w:val="00A55D11"/>
    <w:rsid w:val="00A570EA"/>
    <w:rsid w:val="00A63BEF"/>
    <w:rsid w:val="00A66C2D"/>
    <w:rsid w:val="00A66EB4"/>
    <w:rsid w:val="00A676D5"/>
    <w:rsid w:val="00A709D4"/>
    <w:rsid w:val="00A710D3"/>
    <w:rsid w:val="00A720F1"/>
    <w:rsid w:val="00A7261F"/>
    <w:rsid w:val="00A73236"/>
    <w:rsid w:val="00A73843"/>
    <w:rsid w:val="00A73B76"/>
    <w:rsid w:val="00A746A2"/>
    <w:rsid w:val="00A7582C"/>
    <w:rsid w:val="00A77D2F"/>
    <w:rsid w:val="00A77FAE"/>
    <w:rsid w:val="00A85FC6"/>
    <w:rsid w:val="00A868C8"/>
    <w:rsid w:val="00A8724C"/>
    <w:rsid w:val="00A9171C"/>
    <w:rsid w:val="00A93647"/>
    <w:rsid w:val="00A938F0"/>
    <w:rsid w:val="00A963B7"/>
    <w:rsid w:val="00A96AEC"/>
    <w:rsid w:val="00AA22C0"/>
    <w:rsid w:val="00AA401E"/>
    <w:rsid w:val="00AA4570"/>
    <w:rsid w:val="00AA5113"/>
    <w:rsid w:val="00AA6996"/>
    <w:rsid w:val="00AA7F3B"/>
    <w:rsid w:val="00AB0138"/>
    <w:rsid w:val="00AB0E01"/>
    <w:rsid w:val="00AB14C1"/>
    <w:rsid w:val="00AB1873"/>
    <w:rsid w:val="00AB3309"/>
    <w:rsid w:val="00AB4611"/>
    <w:rsid w:val="00AC0030"/>
    <w:rsid w:val="00AC0612"/>
    <w:rsid w:val="00AC09EE"/>
    <w:rsid w:val="00AC149E"/>
    <w:rsid w:val="00AC29DE"/>
    <w:rsid w:val="00AC3A66"/>
    <w:rsid w:val="00AC5B68"/>
    <w:rsid w:val="00AC7BA5"/>
    <w:rsid w:val="00AC7E6C"/>
    <w:rsid w:val="00AD088A"/>
    <w:rsid w:val="00AD1FAF"/>
    <w:rsid w:val="00AD336D"/>
    <w:rsid w:val="00AD3964"/>
    <w:rsid w:val="00AD5048"/>
    <w:rsid w:val="00AD54AF"/>
    <w:rsid w:val="00AD6BCA"/>
    <w:rsid w:val="00AD6BF3"/>
    <w:rsid w:val="00AE0049"/>
    <w:rsid w:val="00AE0EF4"/>
    <w:rsid w:val="00AE18F6"/>
    <w:rsid w:val="00AE1AB5"/>
    <w:rsid w:val="00AE1B23"/>
    <w:rsid w:val="00AE1EDB"/>
    <w:rsid w:val="00AE29DE"/>
    <w:rsid w:val="00AE3055"/>
    <w:rsid w:val="00AE4BAC"/>
    <w:rsid w:val="00AE51F8"/>
    <w:rsid w:val="00AE60B8"/>
    <w:rsid w:val="00AE6D50"/>
    <w:rsid w:val="00AF33DA"/>
    <w:rsid w:val="00AF4A4A"/>
    <w:rsid w:val="00AF79D1"/>
    <w:rsid w:val="00B0089A"/>
    <w:rsid w:val="00B02B78"/>
    <w:rsid w:val="00B03903"/>
    <w:rsid w:val="00B04811"/>
    <w:rsid w:val="00B04E3D"/>
    <w:rsid w:val="00B06229"/>
    <w:rsid w:val="00B06853"/>
    <w:rsid w:val="00B07574"/>
    <w:rsid w:val="00B07E8E"/>
    <w:rsid w:val="00B07F88"/>
    <w:rsid w:val="00B10C60"/>
    <w:rsid w:val="00B10F1F"/>
    <w:rsid w:val="00B127E6"/>
    <w:rsid w:val="00B136C6"/>
    <w:rsid w:val="00B1684F"/>
    <w:rsid w:val="00B17E3B"/>
    <w:rsid w:val="00B20C2A"/>
    <w:rsid w:val="00B20C3D"/>
    <w:rsid w:val="00B22281"/>
    <w:rsid w:val="00B22548"/>
    <w:rsid w:val="00B247C4"/>
    <w:rsid w:val="00B24D13"/>
    <w:rsid w:val="00B253C7"/>
    <w:rsid w:val="00B332D0"/>
    <w:rsid w:val="00B3374B"/>
    <w:rsid w:val="00B3385F"/>
    <w:rsid w:val="00B34626"/>
    <w:rsid w:val="00B34B0E"/>
    <w:rsid w:val="00B35A9C"/>
    <w:rsid w:val="00B35F1B"/>
    <w:rsid w:val="00B36A0E"/>
    <w:rsid w:val="00B3709B"/>
    <w:rsid w:val="00B37491"/>
    <w:rsid w:val="00B40588"/>
    <w:rsid w:val="00B40B75"/>
    <w:rsid w:val="00B41CE8"/>
    <w:rsid w:val="00B435CD"/>
    <w:rsid w:val="00B4392C"/>
    <w:rsid w:val="00B44241"/>
    <w:rsid w:val="00B45BD4"/>
    <w:rsid w:val="00B46847"/>
    <w:rsid w:val="00B46D7E"/>
    <w:rsid w:val="00B5025D"/>
    <w:rsid w:val="00B50EA2"/>
    <w:rsid w:val="00B55CBC"/>
    <w:rsid w:val="00B565DA"/>
    <w:rsid w:val="00B56C75"/>
    <w:rsid w:val="00B60E9D"/>
    <w:rsid w:val="00B63408"/>
    <w:rsid w:val="00B6688C"/>
    <w:rsid w:val="00B66ADC"/>
    <w:rsid w:val="00B707B0"/>
    <w:rsid w:val="00B716B9"/>
    <w:rsid w:val="00B7389D"/>
    <w:rsid w:val="00B73A69"/>
    <w:rsid w:val="00B7661E"/>
    <w:rsid w:val="00B766D4"/>
    <w:rsid w:val="00B80357"/>
    <w:rsid w:val="00B8235B"/>
    <w:rsid w:val="00B8395A"/>
    <w:rsid w:val="00B83DBB"/>
    <w:rsid w:val="00B83EF7"/>
    <w:rsid w:val="00B8557A"/>
    <w:rsid w:val="00B86A18"/>
    <w:rsid w:val="00B86FB2"/>
    <w:rsid w:val="00B87E53"/>
    <w:rsid w:val="00B90082"/>
    <w:rsid w:val="00B9031B"/>
    <w:rsid w:val="00B91DF4"/>
    <w:rsid w:val="00B926BC"/>
    <w:rsid w:val="00B927D1"/>
    <w:rsid w:val="00B92DA3"/>
    <w:rsid w:val="00B9659E"/>
    <w:rsid w:val="00B9682E"/>
    <w:rsid w:val="00B96910"/>
    <w:rsid w:val="00B97186"/>
    <w:rsid w:val="00B973A7"/>
    <w:rsid w:val="00BA0764"/>
    <w:rsid w:val="00BA1202"/>
    <w:rsid w:val="00BA172D"/>
    <w:rsid w:val="00BA1CA5"/>
    <w:rsid w:val="00BA3122"/>
    <w:rsid w:val="00BA31CB"/>
    <w:rsid w:val="00BA35C6"/>
    <w:rsid w:val="00BA5705"/>
    <w:rsid w:val="00BA66CB"/>
    <w:rsid w:val="00BB07DB"/>
    <w:rsid w:val="00BB0B45"/>
    <w:rsid w:val="00BB2197"/>
    <w:rsid w:val="00BB2395"/>
    <w:rsid w:val="00BB36B3"/>
    <w:rsid w:val="00BB390B"/>
    <w:rsid w:val="00BB3932"/>
    <w:rsid w:val="00BB4328"/>
    <w:rsid w:val="00BB6B0A"/>
    <w:rsid w:val="00BB78B3"/>
    <w:rsid w:val="00BB7ED1"/>
    <w:rsid w:val="00BC03AB"/>
    <w:rsid w:val="00BC17F9"/>
    <w:rsid w:val="00BC1B2F"/>
    <w:rsid w:val="00BC27AE"/>
    <w:rsid w:val="00BC31F0"/>
    <w:rsid w:val="00BC33B5"/>
    <w:rsid w:val="00BC486F"/>
    <w:rsid w:val="00BC4CB4"/>
    <w:rsid w:val="00BC576D"/>
    <w:rsid w:val="00BD1766"/>
    <w:rsid w:val="00BD22AA"/>
    <w:rsid w:val="00BD3379"/>
    <w:rsid w:val="00BD4187"/>
    <w:rsid w:val="00BD5CDD"/>
    <w:rsid w:val="00BE1AB8"/>
    <w:rsid w:val="00BE3554"/>
    <w:rsid w:val="00BE37F7"/>
    <w:rsid w:val="00BE4511"/>
    <w:rsid w:val="00BE5C5E"/>
    <w:rsid w:val="00BE5E47"/>
    <w:rsid w:val="00BE6C89"/>
    <w:rsid w:val="00BF3319"/>
    <w:rsid w:val="00BF43D7"/>
    <w:rsid w:val="00BF4AF6"/>
    <w:rsid w:val="00BF5788"/>
    <w:rsid w:val="00BF628A"/>
    <w:rsid w:val="00BF69AD"/>
    <w:rsid w:val="00BF7EEF"/>
    <w:rsid w:val="00C005DE"/>
    <w:rsid w:val="00C01AE0"/>
    <w:rsid w:val="00C035EE"/>
    <w:rsid w:val="00C04053"/>
    <w:rsid w:val="00C100E5"/>
    <w:rsid w:val="00C114FE"/>
    <w:rsid w:val="00C12D7E"/>
    <w:rsid w:val="00C13E64"/>
    <w:rsid w:val="00C14FC0"/>
    <w:rsid w:val="00C15F9C"/>
    <w:rsid w:val="00C174F2"/>
    <w:rsid w:val="00C17C4F"/>
    <w:rsid w:val="00C201A2"/>
    <w:rsid w:val="00C221FD"/>
    <w:rsid w:val="00C23949"/>
    <w:rsid w:val="00C23B03"/>
    <w:rsid w:val="00C23F2E"/>
    <w:rsid w:val="00C25082"/>
    <w:rsid w:val="00C2565B"/>
    <w:rsid w:val="00C31168"/>
    <w:rsid w:val="00C339C1"/>
    <w:rsid w:val="00C3621A"/>
    <w:rsid w:val="00C36813"/>
    <w:rsid w:val="00C36F0B"/>
    <w:rsid w:val="00C40913"/>
    <w:rsid w:val="00C4191D"/>
    <w:rsid w:val="00C41B5A"/>
    <w:rsid w:val="00C43E03"/>
    <w:rsid w:val="00C45975"/>
    <w:rsid w:val="00C46795"/>
    <w:rsid w:val="00C513E5"/>
    <w:rsid w:val="00C51F84"/>
    <w:rsid w:val="00C52FBC"/>
    <w:rsid w:val="00C53B77"/>
    <w:rsid w:val="00C53CB7"/>
    <w:rsid w:val="00C542AD"/>
    <w:rsid w:val="00C54790"/>
    <w:rsid w:val="00C54C23"/>
    <w:rsid w:val="00C54FBE"/>
    <w:rsid w:val="00C55017"/>
    <w:rsid w:val="00C55743"/>
    <w:rsid w:val="00C56EA6"/>
    <w:rsid w:val="00C574FC"/>
    <w:rsid w:val="00C57569"/>
    <w:rsid w:val="00C579E6"/>
    <w:rsid w:val="00C60139"/>
    <w:rsid w:val="00C60265"/>
    <w:rsid w:val="00C61574"/>
    <w:rsid w:val="00C615E9"/>
    <w:rsid w:val="00C642E2"/>
    <w:rsid w:val="00C65674"/>
    <w:rsid w:val="00C66808"/>
    <w:rsid w:val="00C71B9A"/>
    <w:rsid w:val="00C7690A"/>
    <w:rsid w:val="00C822A9"/>
    <w:rsid w:val="00C82443"/>
    <w:rsid w:val="00C828D7"/>
    <w:rsid w:val="00C85DBE"/>
    <w:rsid w:val="00C8686F"/>
    <w:rsid w:val="00C931F4"/>
    <w:rsid w:val="00C93423"/>
    <w:rsid w:val="00C93A4D"/>
    <w:rsid w:val="00C945F6"/>
    <w:rsid w:val="00C94B88"/>
    <w:rsid w:val="00C95318"/>
    <w:rsid w:val="00CA1FA9"/>
    <w:rsid w:val="00CA2FA4"/>
    <w:rsid w:val="00CA32A2"/>
    <w:rsid w:val="00CA3735"/>
    <w:rsid w:val="00CA3EC5"/>
    <w:rsid w:val="00CA548D"/>
    <w:rsid w:val="00CA58E1"/>
    <w:rsid w:val="00CA7DE0"/>
    <w:rsid w:val="00CA7E19"/>
    <w:rsid w:val="00CB1D7A"/>
    <w:rsid w:val="00CB2743"/>
    <w:rsid w:val="00CB4300"/>
    <w:rsid w:val="00CB5437"/>
    <w:rsid w:val="00CB5A52"/>
    <w:rsid w:val="00CB5F06"/>
    <w:rsid w:val="00CB626F"/>
    <w:rsid w:val="00CB7043"/>
    <w:rsid w:val="00CB7A5B"/>
    <w:rsid w:val="00CC1191"/>
    <w:rsid w:val="00CC19BF"/>
    <w:rsid w:val="00CC223A"/>
    <w:rsid w:val="00CC2976"/>
    <w:rsid w:val="00CC2C6B"/>
    <w:rsid w:val="00CC3B9B"/>
    <w:rsid w:val="00CC3F9F"/>
    <w:rsid w:val="00CD12F4"/>
    <w:rsid w:val="00CD32C5"/>
    <w:rsid w:val="00CD38FF"/>
    <w:rsid w:val="00CD392D"/>
    <w:rsid w:val="00CD43CD"/>
    <w:rsid w:val="00CD48F1"/>
    <w:rsid w:val="00CD7635"/>
    <w:rsid w:val="00CE122C"/>
    <w:rsid w:val="00CE4DFB"/>
    <w:rsid w:val="00CE52D9"/>
    <w:rsid w:val="00CE7745"/>
    <w:rsid w:val="00CF0760"/>
    <w:rsid w:val="00CF173D"/>
    <w:rsid w:val="00CF1826"/>
    <w:rsid w:val="00CF3F77"/>
    <w:rsid w:val="00CF7678"/>
    <w:rsid w:val="00D02646"/>
    <w:rsid w:val="00D04194"/>
    <w:rsid w:val="00D053EF"/>
    <w:rsid w:val="00D06F2F"/>
    <w:rsid w:val="00D07037"/>
    <w:rsid w:val="00D0776A"/>
    <w:rsid w:val="00D12E17"/>
    <w:rsid w:val="00D14DC3"/>
    <w:rsid w:val="00D17306"/>
    <w:rsid w:val="00D178AB"/>
    <w:rsid w:val="00D2156F"/>
    <w:rsid w:val="00D21B6B"/>
    <w:rsid w:val="00D22586"/>
    <w:rsid w:val="00D233EF"/>
    <w:rsid w:val="00D24489"/>
    <w:rsid w:val="00D2563A"/>
    <w:rsid w:val="00D258D6"/>
    <w:rsid w:val="00D26273"/>
    <w:rsid w:val="00D26369"/>
    <w:rsid w:val="00D26B53"/>
    <w:rsid w:val="00D27655"/>
    <w:rsid w:val="00D2798E"/>
    <w:rsid w:val="00D31F3A"/>
    <w:rsid w:val="00D34027"/>
    <w:rsid w:val="00D34743"/>
    <w:rsid w:val="00D35C21"/>
    <w:rsid w:val="00D366C4"/>
    <w:rsid w:val="00D4033D"/>
    <w:rsid w:val="00D425AE"/>
    <w:rsid w:val="00D4361D"/>
    <w:rsid w:val="00D43A5B"/>
    <w:rsid w:val="00D4771C"/>
    <w:rsid w:val="00D512D1"/>
    <w:rsid w:val="00D518E9"/>
    <w:rsid w:val="00D51913"/>
    <w:rsid w:val="00D54049"/>
    <w:rsid w:val="00D55565"/>
    <w:rsid w:val="00D5630A"/>
    <w:rsid w:val="00D57311"/>
    <w:rsid w:val="00D5774F"/>
    <w:rsid w:val="00D577EF"/>
    <w:rsid w:val="00D57F2E"/>
    <w:rsid w:val="00D6083D"/>
    <w:rsid w:val="00D608B0"/>
    <w:rsid w:val="00D61B5D"/>
    <w:rsid w:val="00D65028"/>
    <w:rsid w:val="00D66854"/>
    <w:rsid w:val="00D66BB2"/>
    <w:rsid w:val="00D677E1"/>
    <w:rsid w:val="00D70321"/>
    <w:rsid w:val="00D71EE2"/>
    <w:rsid w:val="00D73460"/>
    <w:rsid w:val="00D73DE3"/>
    <w:rsid w:val="00D743EA"/>
    <w:rsid w:val="00D7687D"/>
    <w:rsid w:val="00D7690C"/>
    <w:rsid w:val="00D76985"/>
    <w:rsid w:val="00D76FA4"/>
    <w:rsid w:val="00D7783A"/>
    <w:rsid w:val="00D80399"/>
    <w:rsid w:val="00D81681"/>
    <w:rsid w:val="00D81DC3"/>
    <w:rsid w:val="00D831E4"/>
    <w:rsid w:val="00D8479A"/>
    <w:rsid w:val="00D854AE"/>
    <w:rsid w:val="00D8656E"/>
    <w:rsid w:val="00D8731A"/>
    <w:rsid w:val="00D8783E"/>
    <w:rsid w:val="00D90BCF"/>
    <w:rsid w:val="00D90E7B"/>
    <w:rsid w:val="00D91323"/>
    <w:rsid w:val="00D9215D"/>
    <w:rsid w:val="00D92258"/>
    <w:rsid w:val="00D925CB"/>
    <w:rsid w:val="00D946B9"/>
    <w:rsid w:val="00D95CB4"/>
    <w:rsid w:val="00D96D38"/>
    <w:rsid w:val="00D96D40"/>
    <w:rsid w:val="00D97BBD"/>
    <w:rsid w:val="00DA27C1"/>
    <w:rsid w:val="00DA3E52"/>
    <w:rsid w:val="00DA6EEF"/>
    <w:rsid w:val="00DB0E3C"/>
    <w:rsid w:val="00DB25BC"/>
    <w:rsid w:val="00DB3B91"/>
    <w:rsid w:val="00DB5BF7"/>
    <w:rsid w:val="00DB6026"/>
    <w:rsid w:val="00DB7A6F"/>
    <w:rsid w:val="00DC1587"/>
    <w:rsid w:val="00DC1FC5"/>
    <w:rsid w:val="00DC263C"/>
    <w:rsid w:val="00DC28C3"/>
    <w:rsid w:val="00DC53E3"/>
    <w:rsid w:val="00DC6641"/>
    <w:rsid w:val="00DC6D43"/>
    <w:rsid w:val="00DC7782"/>
    <w:rsid w:val="00DD0099"/>
    <w:rsid w:val="00DD02EB"/>
    <w:rsid w:val="00DD0736"/>
    <w:rsid w:val="00DD4249"/>
    <w:rsid w:val="00DD4345"/>
    <w:rsid w:val="00DD73F3"/>
    <w:rsid w:val="00DD79E1"/>
    <w:rsid w:val="00DE0558"/>
    <w:rsid w:val="00DE1779"/>
    <w:rsid w:val="00DE1DC0"/>
    <w:rsid w:val="00DE21F1"/>
    <w:rsid w:val="00DE294C"/>
    <w:rsid w:val="00DE2AF6"/>
    <w:rsid w:val="00DE34C1"/>
    <w:rsid w:val="00DE391F"/>
    <w:rsid w:val="00DE3B54"/>
    <w:rsid w:val="00DE50F6"/>
    <w:rsid w:val="00DE686A"/>
    <w:rsid w:val="00DE695F"/>
    <w:rsid w:val="00DE7857"/>
    <w:rsid w:val="00DE7D6B"/>
    <w:rsid w:val="00DF2216"/>
    <w:rsid w:val="00DF4510"/>
    <w:rsid w:val="00DF5E04"/>
    <w:rsid w:val="00DF723E"/>
    <w:rsid w:val="00E014DC"/>
    <w:rsid w:val="00E019AC"/>
    <w:rsid w:val="00E02B81"/>
    <w:rsid w:val="00E03B2F"/>
    <w:rsid w:val="00E049E3"/>
    <w:rsid w:val="00E052FA"/>
    <w:rsid w:val="00E06654"/>
    <w:rsid w:val="00E07103"/>
    <w:rsid w:val="00E111DF"/>
    <w:rsid w:val="00E11651"/>
    <w:rsid w:val="00E11882"/>
    <w:rsid w:val="00E139BA"/>
    <w:rsid w:val="00E140A3"/>
    <w:rsid w:val="00E14578"/>
    <w:rsid w:val="00E154B7"/>
    <w:rsid w:val="00E161E4"/>
    <w:rsid w:val="00E17127"/>
    <w:rsid w:val="00E177BA"/>
    <w:rsid w:val="00E20865"/>
    <w:rsid w:val="00E2222C"/>
    <w:rsid w:val="00E22326"/>
    <w:rsid w:val="00E227CF"/>
    <w:rsid w:val="00E23C92"/>
    <w:rsid w:val="00E24A2E"/>
    <w:rsid w:val="00E251AC"/>
    <w:rsid w:val="00E252AD"/>
    <w:rsid w:val="00E2551B"/>
    <w:rsid w:val="00E261BB"/>
    <w:rsid w:val="00E26623"/>
    <w:rsid w:val="00E27B84"/>
    <w:rsid w:val="00E303B8"/>
    <w:rsid w:val="00E305A8"/>
    <w:rsid w:val="00E30681"/>
    <w:rsid w:val="00E31200"/>
    <w:rsid w:val="00E31225"/>
    <w:rsid w:val="00E3188C"/>
    <w:rsid w:val="00E333D7"/>
    <w:rsid w:val="00E359D3"/>
    <w:rsid w:val="00E35DF0"/>
    <w:rsid w:val="00E3623C"/>
    <w:rsid w:val="00E36774"/>
    <w:rsid w:val="00E37142"/>
    <w:rsid w:val="00E37904"/>
    <w:rsid w:val="00E37AB5"/>
    <w:rsid w:val="00E42912"/>
    <w:rsid w:val="00E42943"/>
    <w:rsid w:val="00E43FC7"/>
    <w:rsid w:val="00E45087"/>
    <w:rsid w:val="00E459F4"/>
    <w:rsid w:val="00E46462"/>
    <w:rsid w:val="00E559B5"/>
    <w:rsid w:val="00E55D22"/>
    <w:rsid w:val="00E55E56"/>
    <w:rsid w:val="00E56570"/>
    <w:rsid w:val="00E57885"/>
    <w:rsid w:val="00E57E8C"/>
    <w:rsid w:val="00E617C0"/>
    <w:rsid w:val="00E61B73"/>
    <w:rsid w:val="00E635E3"/>
    <w:rsid w:val="00E64E20"/>
    <w:rsid w:val="00E651DF"/>
    <w:rsid w:val="00E65527"/>
    <w:rsid w:val="00E665C0"/>
    <w:rsid w:val="00E66E6D"/>
    <w:rsid w:val="00E66ED8"/>
    <w:rsid w:val="00E67261"/>
    <w:rsid w:val="00E72B59"/>
    <w:rsid w:val="00E7337B"/>
    <w:rsid w:val="00E743BF"/>
    <w:rsid w:val="00E74C49"/>
    <w:rsid w:val="00E7553F"/>
    <w:rsid w:val="00E756A0"/>
    <w:rsid w:val="00E75E4F"/>
    <w:rsid w:val="00E75F06"/>
    <w:rsid w:val="00E77704"/>
    <w:rsid w:val="00E77C81"/>
    <w:rsid w:val="00E80C93"/>
    <w:rsid w:val="00E80E48"/>
    <w:rsid w:val="00E830BF"/>
    <w:rsid w:val="00E83162"/>
    <w:rsid w:val="00E86A91"/>
    <w:rsid w:val="00E86AC8"/>
    <w:rsid w:val="00E8732B"/>
    <w:rsid w:val="00E90172"/>
    <w:rsid w:val="00E91822"/>
    <w:rsid w:val="00E92086"/>
    <w:rsid w:val="00E93246"/>
    <w:rsid w:val="00E935A2"/>
    <w:rsid w:val="00E94425"/>
    <w:rsid w:val="00E94B92"/>
    <w:rsid w:val="00E95334"/>
    <w:rsid w:val="00E966C0"/>
    <w:rsid w:val="00EA0314"/>
    <w:rsid w:val="00EA15E7"/>
    <w:rsid w:val="00EA1E69"/>
    <w:rsid w:val="00EA4F76"/>
    <w:rsid w:val="00EA58E1"/>
    <w:rsid w:val="00EA5EEE"/>
    <w:rsid w:val="00EA620A"/>
    <w:rsid w:val="00EA6AAD"/>
    <w:rsid w:val="00EB1D02"/>
    <w:rsid w:val="00EB3393"/>
    <w:rsid w:val="00EB54C3"/>
    <w:rsid w:val="00EC03C0"/>
    <w:rsid w:val="00EC0651"/>
    <w:rsid w:val="00EC0BBD"/>
    <w:rsid w:val="00EC1AA0"/>
    <w:rsid w:val="00EC20AB"/>
    <w:rsid w:val="00EC21CE"/>
    <w:rsid w:val="00EC2643"/>
    <w:rsid w:val="00EC495D"/>
    <w:rsid w:val="00EC52B7"/>
    <w:rsid w:val="00EC700A"/>
    <w:rsid w:val="00EC7C69"/>
    <w:rsid w:val="00ED01A0"/>
    <w:rsid w:val="00ED05C7"/>
    <w:rsid w:val="00ED4026"/>
    <w:rsid w:val="00ED4EF6"/>
    <w:rsid w:val="00ED50C3"/>
    <w:rsid w:val="00ED62FA"/>
    <w:rsid w:val="00ED6A76"/>
    <w:rsid w:val="00ED716B"/>
    <w:rsid w:val="00EE04D3"/>
    <w:rsid w:val="00EE05AB"/>
    <w:rsid w:val="00EE27E3"/>
    <w:rsid w:val="00EE36BB"/>
    <w:rsid w:val="00EE3CED"/>
    <w:rsid w:val="00EE4F1D"/>
    <w:rsid w:val="00EE5710"/>
    <w:rsid w:val="00EE641A"/>
    <w:rsid w:val="00EE7F0B"/>
    <w:rsid w:val="00EF03AA"/>
    <w:rsid w:val="00EF075A"/>
    <w:rsid w:val="00EF425E"/>
    <w:rsid w:val="00EF69B3"/>
    <w:rsid w:val="00EF6BAC"/>
    <w:rsid w:val="00F00051"/>
    <w:rsid w:val="00F0018D"/>
    <w:rsid w:val="00F00413"/>
    <w:rsid w:val="00F02980"/>
    <w:rsid w:val="00F02E42"/>
    <w:rsid w:val="00F03652"/>
    <w:rsid w:val="00F0601C"/>
    <w:rsid w:val="00F06B7D"/>
    <w:rsid w:val="00F11B9D"/>
    <w:rsid w:val="00F129EB"/>
    <w:rsid w:val="00F13FAB"/>
    <w:rsid w:val="00F1438C"/>
    <w:rsid w:val="00F17366"/>
    <w:rsid w:val="00F21604"/>
    <w:rsid w:val="00F218F7"/>
    <w:rsid w:val="00F21AE1"/>
    <w:rsid w:val="00F2238F"/>
    <w:rsid w:val="00F253C7"/>
    <w:rsid w:val="00F256D2"/>
    <w:rsid w:val="00F2642D"/>
    <w:rsid w:val="00F26A93"/>
    <w:rsid w:val="00F278E5"/>
    <w:rsid w:val="00F304B9"/>
    <w:rsid w:val="00F31395"/>
    <w:rsid w:val="00F3208F"/>
    <w:rsid w:val="00F33033"/>
    <w:rsid w:val="00F33ED0"/>
    <w:rsid w:val="00F34AEF"/>
    <w:rsid w:val="00F35233"/>
    <w:rsid w:val="00F40939"/>
    <w:rsid w:val="00F40ECF"/>
    <w:rsid w:val="00F4277B"/>
    <w:rsid w:val="00F42B5E"/>
    <w:rsid w:val="00F433CE"/>
    <w:rsid w:val="00F43B64"/>
    <w:rsid w:val="00F4583C"/>
    <w:rsid w:val="00F50F21"/>
    <w:rsid w:val="00F521BC"/>
    <w:rsid w:val="00F534AD"/>
    <w:rsid w:val="00F54FC4"/>
    <w:rsid w:val="00F5566A"/>
    <w:rsid w:val="00F55D28"/>
    <w:rsid w:val="00F56C6F"/>
    <w:rsid w:val="00F61E5E"/>
    <w:rsid w:val="00F654F1"/>
    <w:rsid w:val="00F656C1"/>
    <w:rsid w:val="00F67218"/>
    <w:rsid w:val="00F70850"/>
    <w:rsid w:val="00F70AD4"/>
    <w:rsid w:val="00F70DB6"/>
    <w:rsid w:val="00F71CF7"/>
    <w:rsid w:val="00F72F1C"/>
    <w:rsid w:val="00F73D2E"/>
    <w:rsid w:val="00F77C5B"/>
    <w:rsid w:val="00F77D4E"/>
    <w:rsid w:val="00F80854"/>
    <w:rsid w:val="00F81336"/>
    <w:rsid w:val="00F82124"/>
    <w:rsid w:val="00F823E0"/>
    <w:rsid w:val="00F83615"/>
    <w:rsid w:val="00F84494"/>
    <w:rsid w:val="00F846C9"/>
    <w:rsid w:val="00F85F9C"/>
    <w:rsid w:val="00F87284"/>
    <w:rsid w:val="00F877ED"/>
    <w:rsid w:val="00F87B3F"/>
    <w:rsid w:val="00F92015"/>
    <w:rsid w:val="00F926BD"/>
    <w:rsid w:val="00F929A5"/>
    <w:rsid w:val="00F94C5A"/>
    <w:rsid w:val="00F96CAB"/>
    <w:rsid w:val="00F97C19"/>
    <w:rsid w:val="00FA0F51"/>
    <w:rsid w:val="00FA23BF"/>
    <w:rsid w:val="00FA3895"/>
    <w:rsid w:val="00FA38F5"/>
    <w:rsid w:val="00FA57B7"/>
    <w:rsid w:val="00FA610E"/>
    <w:rsid w:val="00FA63D5"/>
    <w:rsid w:val="00FB1868"/>
    <w:rsid w:val="00FB1CF2"/>
    <w:rsid w:val="00FB2784"/>
    <w:rsid w:val="00FB532C"/>
    <w:rsid w:val="00FB61C6"/>
    <w:rsid w:val="00FB65B4"/>
    <w:rsid w:val="00FB737A"/>
    <w:rsid w:val="00FB7AEE"/>
    <w:rsid w:val="00FC0656"/>
    <w:rsid w:val="00FC0E22"/>
    <w:rsid w:val="00FC1175"/>
    <w:rsid w:val="00FC3DAB"/>
    <w:rsid w:val="00FC4250"/>
    <w:rsid w:val="00FC5127"/>
    <w:rsid w:val="00FD0308"/>
    <w:rsid w:val="00FD06DB"/>
    <w:rsid w:val="00FD2EBF"/>
    <w:rsid w:val="00FD3886"/>
    <w:rsid w:val="00FD45B1"/>
    <w:rsid w:val="00FD4FE1"/>
    <w:rsid w:val="00FD52C9"/>
    <w:rsid w:val="00FD593B"/>
    <w:rsid w:val="00FD6DA8"/>
    <w:rsid w:val="00FD6F6F"/>
    <w:rsid w:val="00FD7080"/>
    <w:rsid w:val="00FD7F6F"/>
    <w:rsid w:val="00FE175E"/>
    <w:rsid w:val="00FE2B2F"/>
    <w:rsid w:val="00FE2DAF"/>
    <w:rsid w:val="00FE60C5"/>
    <w:rsid w:val="00FE6446"/>
    <w:rsid w:val="00FE7631"/>
    <w:rsid w:val="00FE78F2"/>
    <w:rsid w:val="00FF147D"/>
    <w:rsid w:val="00FF15EC"/>
    <w:rsid w:val="00FF2499"/>
    <w:rsid w:val="00FF4980"/>
    <w:rsid w:val="00FF54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970"/>
    <w:pPr>
      <w:spacing w:after="0" w:line="240" w:lineRule="auto"/>
    </w:pPr>
    <w:rPr>
      <w:rFonts w:ascii="Times New Roman" w:eastAsia="Times New Roman" w:hAnsi="Times New Roman" w:cs="Times New Roman"/>
      <w:sz w:val="20"/>
      <w:szCs w:val="20"/>
      <w:lang w:val="en-AU"/>
    </w:rPr>
  </w:style>
  <w:style w:type="paragraph" w:styleId="1">
    <w:name w:val="heading 1"/>
    <w:basedOn w:val="a"/>
    <w:next w:val="a"/>
    <w:link w:val="10"/>
    <w:qFormat/>
    <w:rsid w:val="00226A22"/>
    <w:pPr>
      <w:keepNext/>
      <w:jc w:val="center"/>
      <w:outlineLvl w:val="0"/>
    </w:pPr>
    <w:rPr>
      <w:b/>
      <w:sz w:val="24"/>
      <w:lang w:val="ru-RU"/>
    </w:rPr>
  </w:style>
  <w:style w:type="paragraph" w:styleId="2">
    <w:name w:val="heading 2"/>
    <w:basedOn w:val="a"/>
    <w:next w:val="a"/>
    <w:link w:val="20"/>
    <w:qFormat/>
    <w:rsid w:val="00226A22"/>
    <w:pPr>
      <w:keepNext/>
      <w:jc w:val="both"/>
      <w:outlineLvl w:val="1"/>
    </w:pPr>
    <w:rPr>
      <w:b/>
      <w:sz w:val="24"/>
      <w:lang w:val="ru-RU"/>
    </w:rPr>
  </w:style>
  <w:style w:type="paragraph" w:styleId="3">
    <w:name w:val="heading 3"/>
    <w:basedOn w:val="a"/>
    <w:next w:val="a"/>
    <w:link w:val="30"/>
    <w:uiPriority w:val="9"/>
    <w:semiHidden/>
    <w:unhideWhenUsed/>
    <w:qFormat/>
    <w:rsid w:val="0052070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C3D89"/>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ru-RU"/>
    </w:rPr>
  </w:style>
  <w:style w:type="paragraph" w:styleId="5">
    <w:name w:val="heading 5"/>
    <w:basedOn w:val="a"/>
    <w:next w:val="a"/>
    <w:link w:val="50"/>
    <w:uiPriority w:val="9"/>
    <w:semiHidden/>
    <w:unhideWhenUsed/>
    <w:qFormat/>
    <w:rsid w:val="00431B8F"/>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0"/>
    <w:next w:val="a"/>
    <w:link w:val="80"/>
    <w:qFormat/>
    <w:rsid w:val="00C60265"/>
    <w:pPr>
      <w:numPr>
        <w:ilvl w:val="1"/>
        <w:numId w:val="5"/>
      </w:numPr>
      <w:outlineLvl w:val="7"/>
    </w:pPr>
    <w:rPr>
      <w:b/>
      <w:bCs/>
      <w:i/>
      <w:iCs/>
      <w:szCs w:val="24"/>
      <w:lang w:eastAsia="ru-RU"/>
    </w:rPr>
  </w:style>
  <w:style w:type="paragraph" w:styleId="9">
    <w:name w:val="heading 9"/>
    <w:basedOn w:val="a"/>
    <w:next w:val="a"/>
    <w:link w:val="90"/>
    <w:uiPriority w:val="9"/>
    <w:unhideWhenUsed/>
    <w:qFormat/>
    <w:rsid w:val="002175F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26A22"/>
    <w:rPr>
      <w:rFonts w:ascii="Times New Roman" w:eastAsia="Times New Roman" w:hAnsi="Times New Roman" w:cs="Times New Roman"/>
      <w:b/>
      <w:sz w:val="24"/>
      <w:szCs w:val="20"/>
    </w:rPr>
  </w:style>
  <w:style w:type="character" w:customStyle="1" w:styleId="20">
    <w:name w:val="Заголовок 2 Знак"/>
    <w:basedOn w:val="a1"/>
    <w:link w:val="2"/>
    <w:rsid w:val="00226A22"/>
    <w:rPr>
      <w:rFonts w:ascii="Times New Roman" w:eastAsia="Times New Roman" w:hAnsi="Times New Roman" w:cs="Times New Roman"/>
      <w:b/>
      <w:sz w:val="24"/>
      <w:szCs w:val="20"/>
    </w:rPr>
  </w:style>
  <w:style w:type="paragraph" w:styleId="a0">
    <w:name w:val="Body Text"/>
    <w:basedOn w:val="a"/>
    <w:link w:val="a4"/>
    <w:rsid w:val="00226A22"/>
    <w:pPr>
      <w:jc w:val="both"/>
    </w:pPr>
    <w:rPr>
      <w:sz w:val="24"/>
      <w:lang w:val="ru-RU"/>
    </w:rPr>
  </w:style>
  <w:style w:type="character" w:customStyle="1" w:styleId="a4">
    <w:name w:val="Основной текст Знак"/>
    <w:basedOn w:val="a1"/>
    <w:link w:val="a0"/>
    <w:rsid w:val="00226A22"/>
    <w:rPr>
      <w:rFonts w:ascii="Times New Roman" w:eastAsia="Times New Roman" w:hAnsi="Times New Roman" w:cs="Times New Roman"/>
      <w:sz w:val="24"/>
      <w:szCs w:val="20"/>
    </w:rPr>
  </w:style>
  <w:style w:type="paragraph" w:styleId="21">
    <w:name w:val="Body Text 2"/>
    <w:basedOn w:val="a"/>
    <w:link w:val="22"/>
    <w:rsid w:val="00226A22"/>
    <w:rPr>
      <w:sz w:val="24"/>
      <w:lang w:val="ru-RU"/>
    </w:rPr>
  </w:style>
  <w:style w:type="character" w:customStyle="1" w:styleId="22">
    <w:name w:val="Основной текст 2 Знак"/>
    <w:basedOn w:val="a1"/>
    <w:link w:val="21"/>
    <w:rsid w:val="00226A22"/>
    <w:rPr>
      <w:rFonts w:ascii="Times New Roman" w:eastAsia="Times New Roman" w:hAnsi="Times New Roman" w:cs="Times New Roman"/>
      <w:sz w:val="24"/>
      <w:szCs w:val="20"/>
    </w:rPr>
  </w:style>
  <w:style w:type="paragraph" w:styleId="a5">
    <w:name w:val="Normal (Web)"/>
    <w:aliases w:val="Обычный (Web)"/>
    <w:basedOn w:val="a"/>
    <w:uiPriority w:val="99"/>
    <w:rsid w:val="00226A22"/>
    <w:pPr>
      <w:spacing w:before="100" w:beforeAutospacing="1" w:after="100" w:afterAutospacing="1"/>
      <w:ind w:firstLine="720"/>
    </w:pPr>
    <w:rPr>
      <w:color w:val="000000"/>
      <w:sz w:val="24"/>
      <w:szCs w:val="24"/>
      <w:lang w:val="ru-RU" w:eastAsia="ru-RU"/>
    </w:rPr>
  </w:style>
  <w:style w:type="paragraph" w:styleId="a6">
    <w:name w:val="Body Text Indent"/>
    <w:basedOn w:val="a"/>
    <w:link w:val="a7"/>
    <w:rsid w:val="00226A22"/>
    <w:pPr>
      <w:spacing w:after="120"/>
      <w:ind w:left="283"/>
    </w:pPr>
    <w:rPr>
      <w:sz w:val="24"/>
      <w:szCs w:val="24"/>
      <w:lang w:val="ru-RU" w:eastAsia="ru-RU"/>
    </w:rPr>
  </w:style>
  <w:style w:type="character" w:customStyle="1" w:styleId="a7">
    <w:name w:val="Основной текст с отступом Знак"/>
    <w:basedOn w:val="a1"/>
    <w:link w:val="a6"/>
    <w:rsid w:val="00226A22"/>
    <w:rPr>
      <w:rFonts w:ascii="Times New Roman" w:eastAsia="Times New Roman" w:hAnsi="Times New Roman" w:cs="Times New Roman"/>
      <w:sz w:val="24"/>
      <w:szCs w:val="24"/>
      <w:lang w:eastAsia="ru-RU"/>
    </w:rPr>
  </w:style>
  <w:style w:type="paragraph" w:styleId="23">
    <w:name w:val="Body Text Indent 2"/>
    <w:basedOn w:val="a"/>
    <w:link w:val="24"/>
    <w:rsid w:val="00226A22"/>
    <w:pPr>
      <w:spacing w:after="120" w:line="480" w:lineRule="auto"/>
      <w:ind w:left="283"/>
    </w:pPr>
    <w:rPr>
      <w:sz w:val="24"/>
      <w:szCs w:val="24"/>
      <w:lang w:val="ru-RU" w:eastAsia="ru-RU"/>
    </w:rPr>
  </w:style>
  <w:style w:type="character" w:customStyle="1" w:styleId="24">
    <w:name w:val="Основной текст с отступом 2 Знак"/>
    <w:basedOn w:val="a1"/>
    <w:link w:val="23"/>
    <w:rsid w:val="00226A22"/>
    <w:rPr>
      <w:rFonts w:ascii="Times New Roman" w:eastAsia="Times New Roman" w:hAnsi="Times New Roman" w:cs="Times New Roman"/>
      <w:sz w:val="24"/>
      <w:szCs w:val="24"/>
      <w:lang w:eastAsia="ru-RU"/>
    </w:rPr>
  </w:style>
  <w:style w:type="paragraph" w:styleId="a8">
    <w:name w:val="footer"/>
    <w:basedOn w:val="a"/>
    <w:link w:val="a9"/>
    <w:rsid w:val="00226A22"/>
    <w:pPr>
      <w:tabs>
        <w:tab w:val="center" w:pos="4677"/>
        <w:tab w:val="right" w:pos="9355"/>
      </w:tabs>
    </w:pPr>
  </w:style>
  <w:style w:type="character" w:customStyle="1" w:styleId="a9">
    <w:name w:val="Нижний колонтитул Знак"/>
    <w:basedOn w:val="a1"/>
    <w:link w:val="a8"/>
    <w:rsid w:val="00226A22"/>
    <w:rPr>
      <w:rFonts w:ascii="Times New Roman" w:eastAsia="Times New Roman" w:hAnsi="Times New Roman" w:cs="Times New Roman"/>
      <w:sz w:val="20"/>
      <w:szCs w:val="20"/>
      <w:lang w:val="en-AU"/>
    </w:rPr>
  </w:style>
  <w:style w:type="character" w:styleId="aa">
    <w:name w:val="page number"/>
    <w:basedOn w:val="a1"/>
    <w:rsid w:val="00226A22"/>
  </w:style>
  <w:style w:type="character" w:customStyle="1" w:styleId="Subst">
    <w:name w:val="Subst"/>
    <w:uiPriority w:val="99"/>
    <w:rsid w:val="00226A22"/>
    <w:rPr>
      <w:b/>
      <w:i/>
    </w:rPr>
  </w:style>
  <w:style w:type="character" w:customStyle="1" w:styleId="apple-style-span">
    <w:name w:val="apple-style-span"/>
    <w:basedOn w:val="a1"/>
    <w:rsid w:val="00226A22"/>
  </w:style>
  <w:style w:type="character" w:customStyle="1" w:styleId="apple-converted-space">
    <w:name w:val="apple-converted-space"/>
    <w:basedOn w:val="a1"/>
    <w:rsid w:val="00226A22"/>
  </w:style>
  <w:style w:type="paragraph" w:styleId="ab">
    <w:name w:val="List Paragraph"/>
    <w:basedOn w:val="a"/>
    <w:uiPriority w:val="34"/>
    <w:qFormat/>
    <w:rsid w:val="00226A22"/>
    <w:pPr>
      <w:ind w:left="720"/>
      <w:contextualSpacing/>
    </w:pPr>
  </w:style>
  <w:style w:type="paragraph" w:styleId="ac">
    <w:name w:val="Balloon Text"/>
    <w:basedOn w:val="a"/>
    <w:link w:val="ad"/>
    <w:uiPriority w:val="99"/>
    <w:semiHidden/>
    <w:unhideWhenUsed/>
    <w:rsid w:val="00226A22"/>
    <w:rPr>
      <w:rFonts w:ascii="Tahoma" w:hAnsi="Tahoma" w:cs="Tahoma"/>
      <w:sz w:val="16"/>
      <w:szCs w:val="16"/>
    </w:rPr>
  </w:style>
  <w:style w:type="character" w:customStyle="1" w:styleId="ad">
    <w:name w:val="Текст выноски Знак"/>
    <w:basedOn w:val="a1"/>
    <w:link w:val="ac"/>
    <w:uiPriority w:val="99"/>
    <w:semiHidden/>
    <w:rsid w:val="00226A22"/>
    <w:rPr>
      <w:rFonts w:ascii="Tahoma" w:eastAsia="Times New Roman" w:hAnsi="Tahoma" w:cs="Tahoma"/>
      <w:sz w:val="16"/>
      <w:szCs w:val="16"/>
      <w:lang w:val="en-AU"/>
    </w:rPr>
  </w:style>
  <w:style w:type="paragraph" w:styleId="ae">
    <w:name w:val="header"/>
    <w:basedOn w:val="a"/>
    <w:link w:val="af"/>
    <w:uiPriority w:val="99"/>
    <w:unhideWhenUsed/>
    <w:rsid w:val="001E4894"/>
    <w:pPr>
      <w:tabs>
        <w:tab w:val="center" w:pos="4677"/>
        <w:tab w:val="right" w:pos="9355"/>
      </w:tabs>
    </w:pPr>
  </w:style>
  <w:style w:type="character" w:customStyle="1" w:styleId="af">
    <w:name w:val="Верхний колонтитул Знак"/>
    <w:basedOn w:val="a1"/>
    <w:link w:val="ae"/>
    <w:uiPriority w:val="99"/>
    <w:rsid w:val="001E4894"/>
    <w:rPr>
      <w:rFonts w:ascii="Times New Roman" w:eastAsia="Times New Roman" w:hAnsi="Times New Roman" w:cs="Times New Roman"/>
      <w:sz w:val="20"/>
      <w:szCs w:val="20"/>
      <w:lang w:val="en-AU"/>
    </w:rPr>
  </w:style>
  <w:style w:type="paragraph" w:customStyle="1" w:styleId="CharCharCharChar">
    <w:name w:val="Char Char Знак Знак Char Char"/>
    <w:basedOn w:val="a"/>
    <w:rsid w:val="004F1B7B"/>
    <w:pPr>
      <w:tabs>
        <w:tab w:val="num" w:pos="360"/>
      </w:tabs>
      <w:spacing w:after="160" w:line="240" w:lineRule="exact"/>
    </w:pPr>
    <w:rPr>
      <w:rFonts w:ascii="Verdana" w:hAnsi="Verdana" w:cs="Verdana"/>
      <w:lang w:val="en-US"/>
    </w:rPr>
  </w:style>
  <w:style w:type="character" w:customStyle="1" w:styleId="90">
    <w:name w:val="Заголовок 9 Знак"/>
    <w:basedOn w:val="a1"/>
    <w:link w:val="9"/>
    <w:uiPriority w:val="9"/>
    <w:rsid w:val="002175F6"/>
    <w:rPr>
      <w:rFonts w:asciiTheme="majorHAnsi" w:eastAsiaTheme="majorEastAsia" w:hAnsiTheme="majorHAnsi" w:cstheme="majorBidi"/>
      <w:i/>
      <w:iCs/>
      <w:color w:val="404040" w:themeColor="text1" w:themeTint="BF"/>
      <w:sz w:val="20"/>
      <w:szCs w:val="20"/>
      <w:lang w:val="en-AU"/>
    </w:rPr>
  </w:style>
  <w:style w:type="character" w:customStyle="1" w:styleId="30">
    <w:name w:val="Заголовок 3 Знак"/>
    <w:basedOn w:val="a1"/>
    <w:link w:val="3"/>
    <w:uiPriority w:val="9"/>
    <w:semiHidden/>
    <w:rsid w:val="0052070D"/>
    <w:rPr>
      <w:rFonts w:asciiTheme="majorHAnsi" w:eastAsiaTheme="majorEastAsia" w:hAnsiTheme="majorHAnsi" w:cstheme="majorBidi"/>
      <w:b/>
      <w:bCs/>
      <w:color w:val="4F81BD" w:themeColor="accent1"/>
      <w:sz w:val="20"/>
      <w:szCs w:val="20"/>
      <w:lang w:val="en-AU"/>
    </w:rPr>
  </w:style>
  <w:style w:type="paragraph" w:customStyle="1" w:styleId="Text-in-table">
    <w:name w:val="Text-in-table"/>
    <w:basedOn w:val="a"/>
    <w:rsid w:val="0052070D"/>
    <w:rPr>
      <w:sz w:val="24"/>
      <w:lang w:val="ru-RU"/>
    </w:rPr>
  </w:style>
  <w:style w:type="table" w:styleId="af0">
    <w:name w:val="Table Grid"/>
    <w:basedOn w:val="a2"/>
    <w:uiPriority w:val="59"/>
    <w:rsid w:val="00002C8E"/>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5">
    <w:name w:val="List Continue 2"/>
    <w:basedOn w:val="a"/>
    <w:rsid w:val="00AE1B23"/>
    <w:pPr>
      <w:spacing w:after="120"/>
      <w:ind w:left="566"/>
    </w:pPr>
    <w:rPr>
      <w:sz w:val="24"/>
      <w:szCs w:val="24"/>
      <w:lang w:val="ru-RU" w:eastAsia="ru-RU"/>
    </w:rPr>
  </w:style>
  <w:style w:type="paragraph" w:styleId="af1">
    <w:name w:val="No Spacing"/>
    <w:uiPriority w:val="1"/>
    <w:qFormat/>
    <w:rsid w:val="00C51F84"/>
    <w:pPr>
      <w:spacing w:after="0" w:line="240" w:lineRule="auto"/>
    </w:pPr>
  </w:style>
  <w:style w:type="character" w:customStyle="1" w:styleId="80">
    <w:name w:val="Заголовок 8 Знак"/>
    <w:basedOn w:val="a1"/>
    <w:link w:val="8"/>
    <w:rsid w:val="00C60265"/>
    <w:rPr>
      <w:rFonts w:ascii="Times New Roman" w:eastAsia="Times New Roman" w:hAnsi="Times New Roman" w:cs="Times New Roman"/>
      <w:b/>
      <w:bCs/>
      <w:i/>
      <w:iCs/>
      <w:sz w:val="24"/>
      <w:szCs w:val="24"/>
      <w:lang w:eastAsia="ru-RU"/>
    </w:rPr>
  </w:style>
  <w:style w:type="character" w:customStyle="1" w:styleId="50">
    <w:name w:val="Заголовок 5 Знак"/>
    <w:basedOn w:val="a1"/>
    <w:link w:val="5"/>
    <w:uiPriority w:val="9"/>
    <w:semiHidden/>
    <w:rsid w:val="00431B8F"/>
    <w:rPr>
      <w:rFonts w:asciiTheme="majorHAnsi" w:eastAsiaTheme="majorEastAsia" w:hAnsiTheme="majorHAnsi" w:cstheme="majorBidi"/>
      <w:color w:val="243F60" w:themeColor="accent1" w:themeShade="7F"/>
      <w:sz w:val="20"/>
      <w:szCs w:val="20"/>
      <w:lang w:val="en-AU"/>
    </w:rPr>
  </w:style>
  <w:style w:type="character" w:customStyle="1" w:styleId="SUBST0">
    <w:name w:val="__SUBST"/>
    <w:rsid w:val="00D04194"/>
    <w:rPr>
      <w:b/>
      <w:bCs/>
      <w:i/>
      <w:iCs/>
      <w:sz w:val="22"/>
      <w:szCs w:val="22"/>
    </w:rPr>
  </w:style>
  <w:style w:type="paragraph" w:styleId="af2">
    <w:name w:val="Plain Text"/>
    <w:basedOn w:val="a"/>
    <w:link w:val="af3"/>
    <w:uiPriority w:val="99"/>
    <w:unhideWhenUsed/>
    <w:rsid w:val="00A11478"/>
    <w:rPr>
      <w:rFonts w:ascii="Consolas" w:eastAsiaTheme="minorHAnsi" w:hAnsi="Consolas" w:cstheme="minorBidi"/>
      <w:sz w:val="21"/>
      <w:szCs w:val="21"/>
      <w:lang w:val="ru-RU"/>
    </w:rPr>
  </w:style>
  <w:style w:type="character" w:customStyle="1" w:styleId="af3">
    <w:name w:val="Текст Знак"/>
    <w:basedOn w:val="a1"/>
    <w:link w:val="af2"/>
    <w:uiPriority w:val="99"/>
    <w:rsid w:val="00A11478"/>
    <w:rPr>
      <w:rFonts w:ascii="Consolas" w:hAnsi="Consolas"/>
      <w:sz w:val="21"/>
      <w:szCs w:val="21"/>
    </w:rPr>
  </w:style>
  <w:style w:type="character" w:customStyle="1" w:styleId="40">
    <w:name w:val="Заголовок 4 Знак"/>
    <w:basedOn w:val="a1"/>
    <w:link w:val="4"/>
    <w:uiPriority w:val="9"/>
    <w:rsid w:val="004C3D89"/>
    <w:rPr>
      <w:rFonts w:asciiTheme="majorHAnsi" w:eastAsiaTheme="majorEastAsia" w:hAnsiTheme="majorHAnsi" w:cstheme="majorBidi"/>
      <w:b/>
      <w:bCs/>
      <w:i/>
      <w:iCs/>
      <w:color w:val="4F81BD" w:themeColor="accent1"/>
    </w:rPr>
  </w:style>
  <w:style w:type="paragraph" w:customStyle="1" w:styleId="ConsPlusTitle">
    <w:name w:val="ConsPlusTitle"/>
    <w:uiPriority w:val="99"/>
    <w:rsid w:val="00AE18F6"/>
    <w:pPr>
      <w:autoSpaceDE w:val="0"/>
      <w:autoSpaceDN w:val="0"/>
      <w:adjustRightInd w:val="0"/>
      <w:spacing w:after="0" w:line="240" w:lineRule="auto"/>
    </w:pPr>
    <w:rPr>
      <w:rFonts w:ascii="Calibri" w:hAnsi="Calibri" w:cs="Calibri"/>
      <w:b/>
      <w:bCs/>
      <w:sz w:val="26"/>
      <w:szCs w:val="26"/>
    </w:rPr>
  </w:style>
  <w:style w:type="paragraph" w:customStyle="1" w:styleId="Text">
    <w:name w:val="Text"/>
    <w:aliases w:val="t,Texte,Body"/>
    <w:basedOn w:val="a"/>
    <w:rsid w:val="00290119"/>
    <w:pPr>
      <w:tabs>
        <w:tab w:val="left" w:pos="284"/>
      </w:tabs>
      <w:overflowPunct w:val="0"/>
      <w:autoSpaceDE w:val="0"/>
      <w:autoSpaceDN w:val="0"/>
      <w:adjustRightInd w:val="0"/>
      <w:spacing w:after="260"/>
      <w:jc w:val="both"/>
    </w:pPr>
    <w:rPr>
      <w:rFonts w:eastAsia="MS Mincho"/>
      <w:sz w:val="22"/>
      <w:lang w:val="en-GB"/>
    </w:rPr>
  </w:style>
  <w:style w:type="character" w:styleId="af4">
    <w:name w:val="Hyperlink"/>
    <w:basedOn w:val="a1"/>
    <w:uiPriority w:val="99"/>
    <w:unhideWhenUsed/>
    <w:rsid w:val="00A7582C"/>
    <w:rPr>
      <w:color w:val="0000FF"/>
      <w:u w:val="single"/>
    </w:rPr>
  </w:style>
  <w:style w:type="paragraph" w:styleId="af5">
    <w:name w:val="Title"/>
    <w:basedOn w:val="a"/>
    <w:link w:val="af6"/>
    <w:uiPriority w:val="10"/>
    <w:qFormat/>
    <w:rsid w:val="00A3356E"/>
    <w:pPr>
      <w:jc w:val="center"/>
    </w:pPr>
    <w:rPr>
      <w:b/>
      <w:sz w:val="22"/>
      <w:szCs w:val="24"/>
      <w:lang w:val="ru-RU" w:eastAsia="ru-RU"/>
    </w:rPr>
  </w:style>
  <w:style w:type="character" w:customStyle="1" w:styleId="af6">
    <w:name w:val="Название Знак"/>
    <w:basedOn w:val="a1"/>
    <w:link w:val="af5"/>
    <w:uiPriority w:val="10"/>
    <w:rsid w:val="00A3356E"/>
    <w:rPr>
      <w:rFonts w:ascii="Times New Roman" w:eastAsia="Times New Roman" w:hAnsi="Times New Roman" w:cs="Times New Roman"/>
      <w:b/>
      <w:szCs w:val="24"/>
      <w:lang w:eastAsia="ru-RU"/>
    </w:rPr>
  </w:style>
  <w:style w:type="paragraph" w:styleId="af7">
    <w:name w:val="footnote text"/>
    <w:basedOn w:val="a"/>
    <w:link w:val="af8"/>
    <w:uiPriority w:val="99"/>
    <w:semiHidden/>
    <w:unhideWhenUsed/>
    <w:rsid w:val="00F13FAB"/>
    <w:rPr>
      <w:rFonts w:ascii="Calibri" w:eastAsiaTheme="minorHAnsi" w:hAnsi="Calibri"/>
      <w:lang w:val="ru-RU"/>
    </w:rPr>
  </w:style>
  <w:style w:type="character" w:customStyle="1" w:styleId="af8">
    <w:name w:val="Текст сноски Знак"/>
    <w:basedOn w:val="a1"/>
    <w:link w:val="af7"/>
    <w:uiPriority w:val="99"/>
    <w:semiHidden/>
    <w:rsid w:val="00F13FAB"/>
    <w:rPr>
      <w:rFonts w:ascii="Calibri" w:hAnsi="Calibri" w:cs="Times New Roman"/>
      <w:sz w:val="20"/>
      <w:szCs w:val="20"/>
    </w:rPr>
  </w:style>
  <w:style w:type="character" w:styleId="af9">
    <w:name w:val="footnote reference"/>
    <w:basedOn w:val="a1"/>
    <w:uiPriority w:val="99"/>
    <w:semiHidden/>
    <w:unhideWhenUsed/>
    <w:rsid w:val="00F13FAB"/>
    <w:rPr>
      <w:vertAlign w:val="superscript"/>
    </w:rPr>
  </w:style>
  <w:style w:type="paragraph" w:customStyle="1" w:styleId="afa">
    <w:name w:val="Знак"/>
    <w:basedOn w:val="a"/>
    <w:uiPriority w:val="99"/>
    <w:rsid w:val="00270BD1"/>
    <w:pPr>
      <w:spacing w:after="160" w:line="240" w:lineRule="exact"/>
    </w:pPr>
    <w:rPr>
      <w:rFonts w:ascii="Verdana" w:hAnsi="Verdana" w:cs="Verdana"/>
      <w:lang w:val="en-US"/>
    </w:rPr>
  </w:style>
  <w:style w:type="character" w:styleId="afb">
    <w:name w:val="annotation reference"/>
    <w:basedOn w:val="a1"/>
    <w:uiPriority w:val="99"/>
    <w:semiHidden/>
    <w:unhideWhenUsed/>
    <w:rsid w:val="0062211D"/>
    <w:rPr>
      <w:sz w:val="16"/>
      <w:szCs w:val="16"/>
    </w:rPr>
  </w:style>
  <w:style w:type="paragraph" w:styleId="afc">
    <w:name w:val="annotation text"/>
    <w:basedOn w:val="a"/>
    <w:link w:val="afd"/>
    <w:uiPriority w:val="99"/>
    <w:semiHidden/>
    <w:unhideWhenUsed/>
    <w:rsid w:val="0062211D"/>
  </w:style>
  <w:style w:type="character" w:customStyle="1" w:styleId="afd">
    <w:name w:val="Текст примечания Знак"/>
    <w:basedOn w:val="a1"/>
    <w:link w:val="afc"/>
    <w:uiPriority w:val="99"/>
    <w:semiHidden/>
    <w:rsid w:val="0062211D"/>
    <w:rPr>
      <w:rFonts w:ascii="Times New Roman" w:eastAsia="Times New Roman" w:hAnsi="Times New Roman" w:cs="Times New Roman"/>
      <w:sz w:val="20"/>
      <w:szCs w:val="20"/>
      <w:lang w:val="en-AU"/>
    </w:rPr>
  </w:style>
  <w:style w:type="paragraph" w:styleId="afe">
    <w:name w:val="annotation subject"/>
    <w:basedOn w:val="afc"/>
    <w:next w:val="afc"/>
    <w:link w:val="aff"/>
    <w:uiPriority w:val="99"/>
    <w:semiHidden/>
    <w:unhideWhenUsed/>
    <w:rsid w:val="0062211D"/>
    <w:rPr>
      <w:b/>
      <w:bCs/>
    </w:rPr>
  </w:style>
  <w:style w:type="character" w:customStyle="1" w:styleId="aff">
    <w:name w:val="Тема примечания Знак"/>
    <w:basedOn w:val="afd"/>
    <w:link w:val="afe"/>
    <w:uiPriority w:val="99"/>
    <w:semiHidden/>
    <w:rsid w:val="0062211D"/>
    <w:rPr>
      <w:rFonts w:ascii="Times New Roman" w:eastAsia="Times New Roman" w:hAnsi="Times New Roman" w:cs="Times New Roman"/>
      <w:b/>
      <w:bCs/>
      <w:sz w:val="20"/>
      <w:szCs w:val="20"/>
      <w:lang w:val="en-AU"/>
    </w:rPr>
  </w:style>
  <w:style w:type="paragraph" w:styleId="aff0">
    <w:name w:val="Revision"/>
    <w:hidden/>
    <w:uiPriority w:val="99"/>
    <w:semiHidden/>
    <w:rsid w:val="005D4598"/>
    <w:pPr>
      <w:spacing w:after="0" w:line="240" w:lineRule="auto"/>
    </w:pPr>
    <w:rPr>
      <w:rFonts w:ascii="Times New Roman" w:eastAsia="Times New Roman" w:hAnsi="Times New Roman" w:cs="Times New Roman"/>
      <w:sz w:val="20"/>
      <w:szCs w:val="20"/>
      <w:lang w:val="en-AU"/>
    </w:rPr>
  </w:style>
  <w:style w:type="paragraph" w:customStyle="1" w:styleId="arus">
    <w:name w:val="a_rus"/>
    <w:basedOn w:val="ab"/>
    <w:link w:val="arusChar"/>
    <w:qFormat/>
    <w:rsid w:val="00C41B5A"/>
    <w:pPr>
      <w:spacing w:before="120" w:after="120"/>
      <w:ind w:hanging="720"/>
    </w:pPr>
    <w:rPr>
      <w:rFonts w:eastAsiaTheme="minorHAnsi"/>
      <w:sz w:val="22"/>
      <w:szCs w:val="22"/>
      <w:lang w:val="ru-RU"/>
    </w:rPr>
  </w:style>
  <w:style w:type="character" w:customStyle="1" w:styleId="arusChar">
    <w:name w:val="a_rus Char"/>
    <w:basedOn w:val="a1"/>
    <w:link w:val="arus"/>
    <w:rsid w:val="00C41B5A"/>
    <w:rPr>
      <w:rFonts w:ascii="Times New Roman" w:hAnsi="Times New Roman" w:cs="Times New Roman"/>
    </w:rPr>
  </w:style>
  <w:style w:type="paragraph" w:styleId="11">
    <w:name w:val="toc 1"/>
    <w:basedOn w:val="a"/>
    <w:next w:val="a"/>
    <w:autoRedefine/>
    <w:uiPriority w:val="39"/>
    <w:unhideWhenUsed/>
    <w:rsid w:val="00781E35"/>
    <w:pPr>
      <w:tabs>
        <w:tab w:val="left" w:pos="440"/>
        <w:tab w:val="right" w:leader="dot" w:pos="9344"/>
      </w:tabs>
      <w:spacing w:after="100"/>
      <w:jc w:val="both"/>
    </w:pPr>
    <w:rPr>
      <w:sz w:val="22"/>
    </w:rPr>
  </w:style>
  <w:style w:type="paragraph" w:styleId="26">
    <w:name w:val="toc 2"/>
    <w:basedOn w:val="a"/>
    <w:next w:val="a"/>
    <w:autoRedefine/>
    <w:uiPriority w:val="39"/>
    <w:unhideWhenUsed/>
    <w:rsid w:val="003A2ADC"/>
    <w:pPr>
      <w:tabs>
        <w:tab w:val="left" w:pos="880"/>
        <w:tab w:val="right" w:leader="dot" w:pos="9344"/>
      </w:tabs>
      <w:spacing w:after="100"/>
      <w:ind w:left="200"/>
    </w:pPr>
    <w:rPr>
      <w:sz w:val="22"/>
    </w:rPr>
  </w:style>
  <w:style w:type="character" w:styleId="aff1">
    <w:name w:val="Strong"/>
    <w:basedOn w:val="a1"/>
    <w:uiPriority w:val="22"/>
    <w:qFormat/>
    <w:rsid w:val="00D81681"/>
    <w:rPr>
      <w:b/>
      <w:bCs/>
    </w:rPr>
  </w:style>
  <w:style w:type="paragraph" w:customStyle="1" w:styleId="Default">
    <w:name w:val="Default"/>
    <w:rsid w:val="003352D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76">
    <w:name w:val="xl76"/>
    <w:basedOn w:val="a"/>
    <w:rsid w:val="00E75F0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sz w:val="24"/>
      <w:szCs w:val="24"/>
      <w:lang w:val="ru-RU" w:eastAsia="ru-RU"/>
    </w:rPr>
  </w:style>
  <w:style w:type="table" w:customStyle="1" w:styleId="TableGrid1">
    <w:name w:val="Table Grid1"/>
    <w:basedOn w:val="a2"/>
    <w:next w:val="af0"/>
    <w:uiPriority w:val="59"/>
    <w:rsid w:val="009002D8"/>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970"/>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226A22"/>
    <w:pPr>
      <w:keepNext/>
      <w:jc w:val="center"/>
      <w:outlineLvl w:val="0"/>
    </w:pPr>
    <w:rPr>
      <w:b/>
      <w:sz w:val="24"/>
      <w:lang w:val="ru-RU"/>
    </w:rPr>
  </w:style>
  <w:style w:type="paragraph" w:styleId="Heading2">
    <w:name w:val="heading 2"/>
    <w:basedOn w:val="Normal"/>
    <w:next w:val="Normal"/>
    <w:link w:val="Heading2Char"/>
    <w:qFormat/>
    <w:rsid w:val="00226A22"/>
    <w:pPr>
      <w:keepNext/>
      <w:jc w:val="both"/>
      <w:outlineLvl w:val="1"/>
    </w:pPr>
    <w:rPr>
      <w:b/>
      <w:sz w:val="24"/>
      <w:lang w:val="ru-RU"/>
    </w:rPr>
  </w:style>
  <w:style w:type="paragraph" w:styleId="Heading3">
    <w:name w:val="heading 3"/>
    <w:basedOn w:val="Normal"/>
    <w:next w:val="Normal"/>
    <w:link w:val="Heading3Char"/>
    <w:uiPriority w:val="9"/>
    <w:semiHidden/>
    <w:unhideWhenUsed/>
    <w:qFormat/>
    <w:rsid w:val="0052070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C3D89"/>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ru-RU"/>
    </w:rPr>
  </w:style>
  <w:style w:type="paragraph" w:styleId="Heading5">
    <w:name w:val="heading 5"/>
    <w:basedOn w:val="Normal"/>
    <w:next w:val="Normal"/>
    <w:link w:val="Heading5Char"/>
    <w:uiPriority w:val="9"/>
    <w:semiHidden/>
    <w:unhideWhenUsed/>
    <w:qFormat/>
    <w:rsid w:val="00431B8F"/>
    <w:pPr>
      <w:keepNext/>
      <w:keepLines/>
      <w:spacing w:before="200"/>
      <w:outlineLvl w:val="4"/>
    </w:pPr>
    <w:rPr>
      <w:rFonts w:asciiTheme="majorHAnsi" w:eastAsiaTheme="majorEastAsia" w:hAnsiTheme="majorHAnsi" w:cstheme="majorBidi"/>
      <w:color w:val="243F60" w:themeColor="accent1" w:themeShade="7F"/>
    </w:rPr>
  </w:style>
  <w:style w:type="paragraph" w:styleId="Heading8">
    <w:name w:val="heading 8"/>
    <w:basedOn w:val="BodyText"/>
    <w:next w:val="Normal"/>
    <w:link w:val="Heading8Char"/>
    <w:qFormat/>
    <w:rsid w:val="00C60265"/>
    <w:pPr>
      <w:numPr>
        <w:ilvl w:val="1"/>
        <w:numId w:val="5"/>
      </w:numPr>
      <w:outlineLvl w:val="7"/>
    </w:pPr>
    <w:rPr>
      <w:b/>
      <w:bCs/>
      <w:i/>
      <w:iCs/>
      <w:szCs w:val="24"/>
      <w:lang w:eastAsia="ru-RU"/>
    </w:rPr>
  </w:style>
  <w:style w:type="paragraph" w:styleId="Heading9">
    <w:name w:val="heading 9"/>
    <w:basedOn w:val="Normal"/>
    <w:next w:val="Normal"/>
    <w:link w:val="Heading9Char"/>
    <w:uiPriority w:val="9"/>
    <w:unhideWhenUsed/>
    <w:qFormat/>
    <w:rsid w:val="002175F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6A2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226A22"/>
    <w:rPr>
      <w:rFonts w:ascii="Times New Roman" w:eastAsia="Times New Roman" w:hAnsi="Times New Roman" w:cs="Times New Roman"/>
      <w:b/>
      <w:sz w:val="24"/>
      <w:szCs w:val="20"/>
    </w:rPr>
  </w:style>
  <w:style w:type="paragraph" w:styleId="BodyText">
    <w:name w:val="Body Text"/>
    <w:basedOn w:val="Normal"/>
    <w:link w:val="BodyTextChar"/>
    <w:rsid w:val="00226A22"/>
    <w:pPr>
      <w:jc w:val="both"/>
    </w:pPr>
    <w:rPr>
      <w:sz w:val="24"/>
      <w:lang w:val="ru-RU"/>
    </w:rPr>
  </w:style>
  <w:style w:type="character" w:customStyle="1" w:styleId="BodyTextChar">
    <w:name w:val="Body Text Char"/>
    <w:basedOn w:val="DefaultParagraphFont"/>
    <w:link w:val="BodyText"/>
    <w:rsid w:val="00226A22"/>
    <w:rPr>
      <w:rFonts w:ascii="Times New Roman" w:eastAsia="Times New Roman" w:hAnsi="Times New Roman" w:cs="Times New Roman"/>
      <w:sz w:val="24"/>
      <w:szCs w:val="20"/>
    </w:rPr>
  </w:style>
  <w:style w:type="paragraph" w:styleId="BodyText2">
    <w:name w:val="Body Text 2"/>
    <w:basedOn w:val="Normal"/>
    <w:link w:val="BodyText2Char"/>
    <w:rsid w:val="00226A22"/>
    <w:rPr>
      <w:sz w:val="24"/>
      <w:lang w:val="ru-RU"/>
    </w:rPr>
  </w:style>
  <w:style w:type="character" w:customStyle="1" w:styleId="BodyText2Char">
    <w:name w:val="Body Text 2 Char"/>
    <w:basedOn w:val="DefaultParagraphFont"/>
    <w:link w:val="BodyText2"/>
    <w:rsid w:val="00226A22"/>
    <w:rPr>
      <w:rFonts w:ascii="Times New Roman" w:eastAsia="Times New Roman" w:hAnsi="Times New Roman" w:cs="Times New Roman"/>
      <w:sz w:val="24"/>
      <w:szCs w:val="20"/>
    </w:rPr>
  </w:style>
  <w:style w:type="paragraph" w:styleId="NormalWeb">
    <w:name w:val="Normal (Web)"/>
    <w:aliases w:val="Обычный (Web)"/>
    <w:basedOn w:val="Normal"/>
    <w:uiPriority w:val="99"/>
    <w:rsid w:val="00226A22"/>
    <w:pPr>
      <w:spacing w:before="100" w:beforeAutospacing="1" w:after="100" w:afterAutospacing="1"/>
      <w:ind w:firstLine="720"/>
    </w:pPr>
    <w:rPr>
      <w:color w:val="000000"/>
      <w:sz w:val="24"/>
      <w:szCs w:val="24"/>
      <w:lang w:val="ru-RU" w:eastAsia="ru-RU"/>
    </w:rPr>
  </w:style>
  <w:style w:type="paragraph" w:styleId="BodyTextIndent">
    <w:name w:val="Body Text Indent"/>
    <w:basedOn w:val="Normal"/>
    <w:link w:val="BodyTextIndentChar"/>
    <w:rsid w:val="00226A22"/>
    <w:pPr>
      <w:spacing w:after="120"/>
      <w:ind w:left="283"/>
    </w:pPr>
    <w:rPr>
      <w:sz w:val="24"/>
      <w:szCs w:val="24"/>
      <w:lang w:val="ru-RU" w:eastAsia="ru-RU"/>
    </w:rPr>
  </w:style>
  <w:style w:type="character" w:customStyle="1" w:styleId="BodyTextIndentChar">
    <w:name w:val="Body Text Indent Char"/>
    <w:basedOn w:val="DefaultParagraphFont"/>
    <w:link w:val="BodyTextIndent"/>
    <w:rsid w:val="00226A22"/>
    <w:rPr>
      <w:rFonts w:ascii="Times New Roman" w:eastAsia="Times New Roman" w:hAnsi="Times New Roman" w:cs="Times New Roman"/>
      <w:sz w:val="24"/>
      <w:szCs w:val="24"/>
      <w:lang w:eastAsia="ru-RU"/>
    </w:rPr>
  </w:style>
  <w:style w:type="paragraph" w:styleId="BodyTextIndent2">
    <w:name w:val="Body Text Indent 2"/>
    <w:basedOn w:val="Normal"/>
    <w:link w:val="BodyTextIndent2Char"/>
    <w:rsid w:val="00226A22"/>
    <w:pPr>
      <w:spacing w:after="120" w:line="480" w:lineRule="auto"/>
      <w:ind w:left="283"/>
    </w:pPr>
    <w:rPr>
      <w:sz w:val="24"/>
      <w:szCs w:val="24"/>
      <w:lang w:val="ru-RU" w:eastAsia="ru-RU"/>
    </w:rPr>
  </w:style>
  <w:style w:type="character" w:customStyle="1" w:styleId="BodyTextIndent2Char">
    <w:name w:val="Body Text Indent 2 Char"/>
    <w:basedOn w:val="DefaultParagraphFont"/>
    <w:link w:val="BodyTextIndent2"/>
    <w:rsid w:val="00226A22"/>
    <w:rPr>
      <w:rFonts w:ascii="Times New Roman" w:eastAsia="Times New Roman" w:hAnsi="Times New Roman" w:cs="Times New Roman"/>
      <w:sz w:val="24"/>
      <w:szCs w:val="24"/>
      <w:lang w:eastAsia="ru-RU"/>
    </w:rPr>
  </w:style>
  <w:style w:type="paragraph" w:styleId="Footer">
    <w:name w:val="footer"/>
    <w:basedOn w:val="Normal"/>
    <w:link w:val="FooterChar"/>
    <w:rsid w:val="00226A22"/>
    <w:pPr>
      <w:tabs>
        <w:tab w:val="center" w:pos="4677"/>
        <w:tab w:val="right" w:pos="9355"/>
      </w:tabs>
    </w:pPr>
  </w:style>
  <w:style w:type="character" w:customStyle="1" w:styleId="FooterChar">
    <w:name w:val="Footer Char"/>
    <w:basedOn w:val="DefaultParagraphFont"/>
    <w:link w:val="Footer"/>
    <w:rsid w:val="00226A22"/>
    <w:rPr>
      <w:rFonts w:ascii="Times New Roman" w:eastAsia="Times New Roman" w:hAnsi="Times New Roman" w:cs="Times New Roman"/>
      <w:sz w:val="20"/>
      <w:szCs w:val="20"/>
      <w:lang w:val="en-AU"/>
    </w:rPr>
  </w:style>
  <w:style w:type="character" w:styleId="PageNumber">
    <w:name w:val="page number"/>
    <w:basedOn w:val="DefaultParagraphFont"/>
    <w:rsid w:val="00226A22"/>
  </w:style>
  <w:style w:type="character" w:customStyle="1" w:styleId="Subst">
    <w:name w:val="Subst"/>
    <w:uiPriority w:val="99"/>
    <w:rsid w:val="00226A22"/>
    <w:rPr>
      <w:b/>
      <w:i/>
    </w:rPr>
  </w:style>
  <w:style w:type="character" w:customStyle="1" w:styleId="apple-style-span">
    <w:name w:val="apple-style-span"/>
    <w:basedOn w:val="DefaultParagraphFont"/>
    <w:rsid w:val="00226A22"/>
  </w:style>
  <w:style w:type="character" w:customStyle="1" w:styleId="apple-converted-space">
    <w:name w:val="apple-converted-space"/>
    <w:basedOn w:val="DefaultParagraphFont"/>
    <w:rsid w:val="00226A22"/>
  </w:style>
  <w:style w:type="paragraph" w:styleId="ListParagraph">
    <w:name w:val="List Paragraph"/>
    <w:basedOn w:val="Normal"/>
    <w:uiPriority w:val="34"/>
    <w:qFormat/>
    <w:rsid w:val="00226A22"/>
    <w:pPr>
      <w:ind w:left="720"/>
      <w:contextualSpacing/>
    </w:pPr>
  </w:style>
  <w:style w:type="paragraph" w:styleId="BalloonText">
    <w:name w:val="Balloon Text"/>
    <w:basedOn w:val="Normal"/>
    <w:link w:val="BalloonTextChar"/>
    <w:uiPriority w:val="99"/>
    <w:semiHidden/>
    <w:unhideWhenUsed/>
    <w:rsid w:val="00226A22"/>
    <w:rPr>
      <w:rFonts w:ascii="Tahoma" w:hAnsi="Tahoma" w:cs="Tahoma"/>
      <w:sz w:val="16"/>
      <w:szCs w:val="16"/>
    </w:rPr>
  </w:style>
  <w:style w:type="character" w:customStyle="1" w:styleId="BalloonTextChar">
    <w:name w:val="Balloon Text Char"/>
    <w:basedOn w:val="DefaultParagraphFont"/>
    <w:link w:val="BalloonText"/>
    <w:uiPriority w:val="99"/>
    <w:semiHidden/>
    <w:rsid w:val="00226A22"/>
    <w:rPr>
      <w:rFonts w:ascii="Tahoma" w:eastAsia="Times New Roman" w:hAnsi="Tahoma" w:cs="Tahoma"/>
      <w:sz w:val="16"/>
      <w:szCs w:val="16"/>
      <w:lang w:val="en-AU"/>
    </w:rPr>
  </w:style>
  <w:style w:type="paragraph" w:styleId="Header">
    <w:name w:val="header"/>
    <w:basedOn w:val="Normal"/>
    <w:link w:val="HeaderChar"/>
    <w:uiPriority w:val="99"/>
    <w:unhideWhenUsed/>
    <w:rsid w:val="001E4894"/>
    <w:pPr>
      <w:tabs>
        <w:tab w:val="center" w:pos="4677"/>
        <w:tab w:val="right" w:pos="9355"/>
      </w:tabs>
    </w:pPr>
  </w:style>
  <w:style w:type="character" w:customStyle="1" w:styleId="HeaderChar">
    <w:name w:val="Header Char"/>
    <w:basedOn w:val="DefaultParagraphFont"/>
    <w:link w:val="Header"/>
    <w:uiPriority w:val="99"/>
    <w:rsid w:val="001E4894"/>
    <w:rPr>
      <w:rFonts w:ascii="Times New Roman" w:eastAsia="Times New Roman" w:hAnsi="Times New Roman" w:cs="Times New Roman"/>
      <w:sz w:val="20"/>
      <w:szCs w:val="20"/>
      <w:lang w:val="en-AU"/>
    </w:rPr>
  </w:style>
  <w:style w:type="paragraph" w:customStyle="1" w:styleId="CharCharCharChar">
    <w:name w:val="Char Char Знак Знак Char Char"/>
    <w:basedOn w:val="Normal"/>
    <w:rsid w:val="004F1B7B"/>
    <w:pPr>
      <w:tabs>
        <w:tab w:val="num" w:pos="360"/>
      </w:tabs>
      <w:spacing w:after="160" w:line="240" w:lineRule="exact"/>
    </w:pPr>
    <w:rPr>
      <w:rFonts w:ascii="Verdana" w:hAnsi="Verdana" w:cs="Verdana"/>
      <w:lang w:val="en-US"/>
    </w:rPr>
  </w:style>
  <w:style w:type="character" w:customStyle="1" w:styleId="Heading9Char">
    <w:name w:val="Heading 9 Char"/>
    <w:basedOn w:val="DefaultParagraphFont"/>
    <w:link w:val="Heading9"/>
    <w:uiPriority w:val="9"/>
    <w:rsid w:val="002175F6"/>
    <w:rPr>
      <w:rFonts w:asciiTheme="majorHAnsi" w:eastAsiaTheme="majorEastAsia" w:hAnsiTheme="majorHAnsi" w:cstheme="majorBidi"/>
      <w:i/>
      <w:iCs/>
      <w:color w:val="404040" w:themeColor="text1" w:themeTint="BF"/>
      <w:sz w:val="20"/>
      <w:szCs w:val="20"/>
      <w:lang w:val="en-AU"/>
    </w:rPr>
  </w:style>
  <w:style w:type="character" w:customStyle="1" w:styleId="Heading3Char">
    <w:name w:val="Heading 3 Char"/>
    <w:basedOn w:val="DefaultParagraphFont"/>
    <w:link w:val="Heading3"/>
    <w:uiPriority w:val="9"/>
    <w:semiHidden/>
    <w:rsid w:val="0052070D"/>
    <w:rPr>
      <w:rFonts w:asciiTheme="majorHAnsi" w:eastAsiaTheme="majorEastAsia" w:hAnsiTheme="majorHAnsi" w:cstheme="majorBidi"/>
      <w:b/>
      <w:bCs/>
      <w:color w:val="4F81BD" w:themeColor="accent1"/>
      <w:sz w:val="20"/>
      <w:szCs w:val="20"/>
      <w:lang w:val="en-AU"/>
    </w:rPr>
  </w:style>
  <w:style w:type="paragraph" w:customStyle="1" w:styleId="Text-in-table">
    <w:name w:val="Text-in-table"/>
    <w:basedOn w:val="Normal"/>
    <w:rsid w:val="0052070D"/>
    <w:rPr>
      <w:sz w:val="24"/>
      <w:lang w:val="ru-RU"/>
    </w:rPr>
  </w:style>
  <w:style w:type="table" w:styleId="TableGrid">
    <w:name w:val="Table Grid"/>
    <w:basedOn w:val="TableNormal"/>
    <w:uiPriority w:val="59"/>
    <w:rsid w:val="00002C8E"/>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Continue2">
    <w:name w:val="List Continue 2"/>
    <w:basedOn w:val="Normal"/>
    <w:rsid w:val="00AE1B23"/>
    <w:pPr>
      <w:spacing w:after="120"/>
      <w:ind w:left="566"/>
    </w:pPr>
    <w:rPr>
      <w:sz w:val="24"/>
      <w:szCs w:val="24"/>
      <w:lang w:val="ru-RU" w:eastAsia="ru-RU"/>
    </w:rPr>
  </w:style>
  <w:style w:type="paragraph" w:styleId="NoSpacing">
    <w:name w:val="No Spacing"/>
    <w:uiPriority w:val="1"/>
    <w:qFormat/>
    <w:rsid w:val="00C51F84"/>
    <w:pPr>
      <w:spacing w:after="0" w:line="240" w:lineRule="auto"/>
    </w:pPr>
  </w:style>
  <w:style w:type="character" w:customStyle="1" w:styleId="Heading8Char">
    <w:name w:val="Heading 8 Char"/>
    <w:basedOn w:val="DefaultParagraphFont"/>
    <w:link w:val="Heading8"/>
    <w:rsid w:val="00C60265"/>
    <w:rPr>
      <w:rFonts w:ascii="Times New Roman" w:eastAsia="Times New Roman" w:hAnsi="Times New Roman" w:cs="Times New Roman"/>
      <w:b/>
      <w:bCs/>
      <w:i/>
      <w:iCs/>
      <w:sz w:val="24"/>
      <w:szCs w:val="24"/>
      <w:lang w:eastAsia="ru-RU"/>
    </w:rPr>
  </w:style>
  <w:style w:type="character" w:customStyle="1" w:styleId="Heading5Char">
    <w:name w:val="Heading 5 Char"/>
    <w:basedOn w:val="DefaultParagraphFont"/>
    <w:link w:val="Heading5"/>
    <w:uiPriority w:val="9"/>
    <w:semiHidden/>
    <w:rsid w:val="00431B8F"/>
    <w:rPr>
      <w:rFonts w:asciiTheme="majorHAnsi" w:eastAsiaTheme="majorEastAsia" w:hAnsiTheme="majorHAnsi" w:cstheme="majorBidi"/>
      <w:color w:val="243F60" w:themeColor="accent1" w:themeShade="7F"/>
      <w:sz w:val="20"/>
      <w:szCs w:val="20"/>
      <w:lang w:val="en-AU"/>
    </w:rPr>
  </w:style>
  <w:style w:type="character" w:customStyle="1" w:styleId="SUBST0">
    <w:name w:val="__SUBST"/>
    <w:rsid w:val="00D04194"/>
    <w:rPr>
      <w:b/>
      <w:bCs/>
      <w:i/>
      <w:iCs/>
      <w:sz w:val="22"/>
      <w:szCs w:val="22"/>
    </w:rPr>
  </w:style>
  <w:style w:type="paragraph" w:styleId="PlainText">
    <w:name w:val="Plain Text"/>
    <w:basedOn w:val="Normal"/>
    <w:link w:val="PlainTextChar"/>
    <w:uiPriority w:val="99"/>
    <w:unhideWhenUsed/>
    <w:rsid w:val="00A11478"/>
    <w:rPr>
      <w:rFonts w:ascii="Consolas" w:eastAsiaTheme="minorHAnsi" w:hAnsi="Consolas" w:cstheme="minorBidi"/>
      <w:sz w:val="21"/>
      <w:szCs w:val="21"/>
      <w:lang w:val="ru-RU"/>
    </w:rPr>
  </w:style>
  <w:style w:type="character" w:customStyle="1" w:styleId="PlainTextChar">
    <w:name w:val="Plain Text Char"/>
    <w:basedOn w:val="DefaultParagraphFont"/>
    <w:link w:val="PlainText"/>
    <w:uiPriority w:val="99"/>
    <w:rsid w:val="00A11478"/>
    <w:rPr>
      <w:rFonts w:ascii="Consolas" w:hAnsi="Consolas"/>
      <w:sz w:val="21"/>
      <w:szCs w:val="21"/>
    </w:rPr>
  </w:style>
  <w:style w:type="character" w:customStyle="1" w:styleId="Heading4Char">
    <w:name w:val="Heading 4 Char"/>
    <w:basedOn w:val="DefaultParagraphFont"/>
    <w:link w:val="Heading4"/>
    <w:uiPriority w:val="9"/>
    <w:rsid w:val="004C3D89"/>
    <w:rPr>
      <w:rFonts w:asciiTheme="majorHAnsi" w:eastAsiaTheme="majorEastAsia" w:hAnsiTheme="majorHAnsi" w:cstheme="majorBidi"/>
      <w:b/>
      <w:bCs/>
      <w:i/>
      <w:iCs/>
      <w:color w:val="4F81BD" w:themeColor="accent1"/>
    </w:rPr>
  </w:style>
  <w:style w:type="paragraph" w:customStyle="1" w:styleId="ConsPlusTitle">
    <w:name w:val="ConsPlusTitle"/>
    <w:uiPriority w:val="99"/>
    <w:rsid w:val="00AE18F6"/>
    <w:pPr>
      <w:autoSpaceDE w:val="0"/>
      <w:autoSpaceDN w:val="0"/>
      <w:adjustRightInd w:val="0"/>
      <w:spacing w:after="0" w:line="240" w:lineRule="auto"/>
    </w:pPr>
    <w:rPr>
      <w:rFonts w:ascii="Calibri" w:hAnsi="Calibri" w:cs="Calibri"/>
      <w:b/>
      <w:bCs/>
      <w:sz w:val="26"/>
      <w:szCs w:val="26"/>
    </w:rPr>
  </w:style>
  <w:style w:type="paragraph" w:customStyle="1" w:styleId="Text">
    <w:name w:val="Text"/>
    <w:aliases w:val="t,Texte,Body"/>
    <w:basedOn w:val="Normal"/>
    <w:rsid w:val="00290119"/>
    <w:pPr>
      <w:tabs>
        <w:tab w:val="left" w:pos="284"/>
      </w:tabs>
      <w:overflowPunct w:val="0"/>
      <w:autoSpaceDE w:val="0"/>
      <w:autoSpaceDN w:val="0"/>
      <w:adjustRightInd w:val="0"/>
      <w:spacing w:after="260"/>
      <w:jc w:val="both"/>
    </w:pPr>
    <w:rPr>
      <w:rFonts w:eastAsia="MS Mincho"/>
      <w:sz w:val="22"/>
      <w:lang w:val="en-GB"/>
    </w:rPr>
  </w:style>
  <w:style w:type="character" w:styleId="Hyperlink">
    <w:name w:val="Hyperlink"/>
    <w:basedOn w:val="DefaultParagraphFont"/>
    <w:uiPriority w:val="99"/>
    <w:unhideWhenUsed/>
    <w:rsid w:val="00A7582C"/>
    <w:rPr>
      <w:color w:val="0000FF"/>
      <w:u w:val="single"/>
    </w:rPr>
  </w:style>
  <w:style w:type="paragraph" w:styleId="Title">
    <w:name w:val="Title"/>
    <w:basedOn w:val="Normal"/>
    <w:link w:val="TitleChar"/>
    <w:uiPriority w:val="10"/>
    <w:qFormat/>
    <w:rsid w:val="00A3356E"/>
    <w:pPr>
      <w:jc w:val="center"/>
    </w:pPr>
    <w:rPr>
      <w:b/>
      <w:sz w:val="22"/>
      <w:szCs w:val="24"/>
      <w:lang w:val="ru-RU" w:eastAsia="ru-RU"/>
    </w:rPr>
  </w:style>
  <w:style w:type="character" w:customStyle="1" w:styleId="TitleChar">
    <w:name w:val="Title Char"/>
    <w:basedOn w:val="DefaultParagraphFont"/>
    <w:link w:val="Title"/>
    <w:uiPriority w:val="10"/>
    <w:rsid w:val="00A3356E"/>
    <w:rPr>
      <w:rFonts w:ascii="Times New Roman" w:eastAsia="Times New Roman" w:hAnsi="Times New Roman" w:cs="Times New Roman"/>
      <w:b/>
      <w:szCs w:val="24"/>
      <w:lang w:eastAsia="ru-RU"/>
    </w:rPr>
  </w:style>
  <w:style w:type="paragraph" w:styleId="FootnoteText">
    <w:name w:val="footnote text"/>
    <w:basedOn w:val="Normal"/>
    <w:link w:val="FootnoteTextChar"/>
    <w:uiPriority w:val="99"/>
    <w:semiHidden/>
    <w:unhideWhenUsed/>
    <w:rsid w:val="00F13FAB"/>
    <w:rPr>
      <w:rFonts w:ascii="Calibri" w:eastAsiaTheme="minorHAnsi" w:hAnsi="Calibri"/>
      <w:lang w:val="ru-RU"/>
    </w:rPr>
  </w:style>
  <w:style w:type="character" w:customStyle="1" w:styleId="FootnoteTextChar">
    <w:name w:val="Footnote Text Char"/>
    <w:basedOn w:val="DefaultParagraphFont"/>
    <w:link w:val="FootnoteText"/>
    <w:uiPriority w:val="99"/>
    <w:semiHidden/>
    <w:rsid w:val="00F13FAB"/>
    <w:rPr>
      <w:rFonts w:ascii="Calibri" w:hAnsi="Calibri" w:cs="Times New Roman"/>
      <w:sz w:val="20"/>
      <w:szCs w:val="20"/>
    </w:rPr>
  </w:style>
  <w:style w:type="character" w:styleId="FootnoteReference">
    <w:name w:val="footnote reference"/>
    <w:basedOn w:val="DefaultParagraphFont"/>
    <w:uiPriority w:val="99"/>
    <w:semiHidden/>
    <w:unhideWhenUsed/>
    <w:rsid w:val="00F13FAB"/>
    <w:rPr>
      <w:vertAlign w:val="superscript"/>
    </w:rPr>
  </w:style>
  <w:style w:type="paragraph" w:customStyle="1" w:styleId="a">
    <w:name w:val="Знак"/>
    <w:basedOn w:val="Normal"/>
    <w:uiPriority w:val="99"/>
    <w:rsid w:val="00270BD1"/>
    <w:pPr>
      <w:spacing w:after="160" w:line="240" w:lineRule="exact"/>
    </w:pPr>
    <w:rPr>
      <w:rFonts w:ascii="Verdana" w:hAnsi="Verdana" w:cs="Verdana"/>
      <w:lang w:val="en-US"/>
    </w:rPr>
  </w:style>
  <w:style w:type="character" w:styleId="CommentReference">
    <w:name w:val="annotation reference"/>
    <w:basedOn w:val="DefaultParagraphFont"/>
    <w:uiPriority w:val="99"/>
    <w:semiHidden/>
    <w:unhideWhenUsed/>
    <w:rsid w:val="0062211D"/>
    <w:rPr>
      <w:sz w:val="16"/>
      <w:szCs w:val="16"/>
    </w:rPr>
  </w:style>
  <w:style w:type="paragraph" w:styleId="CommentText">
    <w:name w:val="annotation text"/>
    <w:basedOn w:val="Normal"/>
    <w:link w:val="CommentTextChar"/>
    <w:uiPriority w:val="99"/>
    <w:semiHidden/>
    <w:unhideWhenUsed/>
    <w:rsid w:val="0062211D"/>
  </w:style>
  <w:style w:type="character" w:customStyle="1" w:styleId="CommentTextChar">
    <w:name w:val="Comment Text Char"/>
    <w:basedOn w:val="DefaultParagraphFont"/>
    <w:link w:val="CommentText"/>
    <w:uiPriority w:val="99"/>
    <w:semiHidden/>
    <w:rsid w:val="0062211D"/>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62211D"/>
    <w:rPr>
      <w:b/>
      <w:bCs/>
    </w:rPr>
  </w:style>
  <w:style w:type="character" w:customStyle="1" w:styleId="CommentSubjectChar">
    <w:name w:val="Comment Subject Char"/>
    <w:basedOn w:val="CommentTextChar"/>
    <w:link w:val="CommentSubject"/>
    <w:uiPriority w:val="99"/>
    <w:semiHidden/>
    <w:rsid w:val="0062211D"/>
    <w:rPr>
      <w:rFonts w:ascii="Times New Roman" w:eastAsia="Times New Roman" w:hAnsi="Times New Roman" w:cs="Times New Roman"/>
      <w:b/>
      <w:bCs/>
      <w:sz w:val="20"/>
      <w:szCs w:val="20"/>
      <w:lang w:val="en-AU"/>
    </w:rPr>
  </w:style>
  <w:style w:type="paragraph" w:styleId="Revision">
    <w:name w:val="Revision"/>
    <w:hidden/>
    <w:uiPriority w:val="99"/>
    <w:semiHidden/>
    <w:rsid w:val="005D4598"/>
    <w:pPr>
      <w:spacing w:after="0" w:line="240" w:lineRule="auto"/>
    </w:pPr>
    <w:rPr>
      <w:rFonts w:ascii="Times New Roman" w:eastAsia="Times New Roman" w:hAnsi="Times New Roman" w:cs="Times New Roman"/>
      <w:sz w:val="20"/>
      <w:szCs w:val="20"/>
      <w:lang w:val="en-AU"/>
    </w:rPr>
  </w:style>
  <w:style w:type="paragraph" w:customStyle="1" w:styleId="arus">
    <w:name w:val="a_rus"/>
    <w:basedOn w:val="ListParagraph"/>
    <w:link w:val="arusChar"/>
    <w:qFormat/>
    <w:rsid w:val="00C41B5A"/>
    <w:pPr>
      <w:spacing w:before="120" w:after="120"/>
      <w:ind w:hanging="720"/>
    </w:pPr>
    <w:rPr>
      <w:rFonts w:eastAsiaTheme="minorHAnsi"/>
      <w:sz w:val="22"/>
      <w:szCs w:val="22"/>
      <w:lang w:val="ru-RU"/>
    </w:rPr>
  </w:style>
  <w:style w:type="character" w:customStyle="1" w:styleId="arusChar">
    <w:name w:val="a_rus Char"/>
    <w:basedOn w:val="DefaultParagraphFont"/>
    <w:link w:val="arus"/>
    <w:rsid w:val="00C41B5A"/>
    <w:rPr>
      <w:rFonts w:ascii="Times New Roman" w:hAnsi="Times New Roman" w:cs="Times New Roman"/>
    </w:rPr>
  </w:style>
  <w:style w:type="paragraph" w:styleId="TOC1">
    <w:name w:val="toc 1"/>
    <w:basedOn w:val="Normal"/>
    <w:next w:val="Normal"/>
    <w:autoRedefine/>
    <w:uiPriority w:val="39"/>
    <w:unhideWhenUsed/>
    <w:rsid w:val="00781E35"/>
    <w:pPr>
      <w:tabs>
        <w:tab w:val="left" w:pos="440"/>
        <w:tab w:val="right" w:leader="dot" w:pos="9344"/>
      </w:tabs>
      <w:spacing w:after="100"/>
      <w:jc w:val="both"/>
    </w:pPr>
    <w:rPr>
      <w:sz w:val="22"/>
    </w:rPr>
  </w:style>
  <w:style w:type="paragraph" w:styleId="TOC2">
    <w:name w:val="toc 2"/>
    <w:basedOn w:val="Normal"/>
    <w:next w:val="Normal"/>
    <w:autoRedefine/>
    <w:uiPriority w:val="39"/>
    <w:unhideWhenUsed/>
    <w:rsid w:val="003A2ADC"/>
    <w:pPr>
      <w:tabs>
        <w:tab w:val="left" w:pos="880"/>
        <w:tab w:val="right" w:leader="dot" w:pos="9344"/>
      </w:tabs>
      <w:spacing w:after="100"/>
      <w:ind w:left="200"/>
    </w:pPr>
    <w:rPr>
      <w:sz w:val="22"/>
    </w:rPr>
  </w:style>
  <w:style w:type="character" w:styleId="Strong">
    <w:name w:val="Strong"/>
    <w:basedOn w:val="DefaultParagraphFont"/>
    <w:uiPriority w:val="22"/>
    <w:qFormat/>
    <w:rsid w:val="00D81681"/>
    <w:rPr>
      <w:b/>
      <w:bCs/>
    </w:rPr>
  </w:style>
  <w:style w:type="paragraph" w:customStyle="1" w:styleId="Default">
    <w:name w:val="Default"/>
    <w:rsid w:val="003352D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76">
    <w:name w:val="xl76"/>
    <w:basedOn w:val="Normal"/>
    <w:rsid w:val="00E75F0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sz w:val="24"/>
      <w:szCs w:val="24"/>
      <w:lang w:val="ru-RU" w:eastAsia="ru-RU"/>
    </w:rPr>
  </w:style>
  <w:style w:type="table" w:customStyle="1" w:styleId="TableGrid1">
    <w:name w:val="Table Grid1"/>
    <w:basedOn w:val="TableNormal"/>
    <w:next w:val="TableGrid"/>
    <w:uiPriority w:val="59"/>
    <w:rsid w:val="009002D8"/>
    <w:pPr>
      <w:spacing w:after="0" w:line="240" w:lineRule="auto"/>
      <w:jc w:val="both"/>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divs>
    <w:div w:id="19161112">
      <w:bodyDiv w:val="1"/>
      <w:marLeft w:val="0"/>
      <w:marRight w:val="0"/>
      <w:marTop w:val="0"/>
      <w:marBottom w:val="0"/>
      <w:divBdr>
        <w:top w:val="none" w:sz="0" w:space="0" w:color="auto"/>
        <w:left w:val="none" w:sz="0" w:space="0" w:color="auto"/>
        <w:bottom w:val="none" w:sz="0" w:space="0" w:color="auto"/>
        <w:right w:val="none" w:sz="0" w:space="0" w:color="auto"/>
      </w:divBdr>
    </w:div>
    <w:div w:id="36779723">
      <w:bodyDiv w:val="1"/>
      <w:marLeft w:val="0"/>
      <w:marRight w:val="0"/>
      <w:marTop w:val="0"/>
      <w:marBottom w:val="0"/>
      <w:divBdr>
        <w:top w:val="none" w:sz="0" w:space="0" w:color="auto"/>
        <w:left w:val="none" w:sz="0" w:space="0" w:color="auto"/>
        <w:bottom w:val="none" w:sz="0" w:space="0" w:color="auto"/>
        <w:right w:val="none" w:sz="0" w:space="0" w:color="auto"/>
      </w:divBdr>
    </w:div>
    <w:div w:id="97677895">
      <w:bodyDiv w:val="1"/>
      <w:marLeft w:val="0"/>
      <w:marRight w:val="0"/>
      <w:marTop w:val="0"/>
      <w:marBottom w:val="0"/>
      <w:divBdr>
        <w:top w:val="none" w:sz="0" w:space="0" w:color="auto"/>
        <w:left w:val="none" w:sz="0" w:space="0" w:color="auto"/>
        <w:bottom w:val="none" w:sz="0" w:space="0" w:color="auto"/>
        <w:right w:val="none" w:sz="0" w:space="0" w:color="auto"/>
      </w:divBdr>
    </w:div>
    <w:div w:id="108356212">
      <w:bodyDiv w:val="1"/>
      <w:marLeft w:val="0"/>
      <w:marRight w:val="0"/>
      <w:marTop w:val="0"/>
      <w:marBottom w:val="0"/>
      <w:divBdr>
        <w:top w:val="none" w:sz="0" w:space="0" w:color="auto"/>
        <w:left w:val="none" w:sz="0" w:space="0" w:color="auto"/>
        <w:bottom w:val="none" w:sz="0" w:space="0" w:color="auto"/>
        <w:right w:val="none" w:sz="0" w:space="0" w:color="auto"/>
      </w:divBdr>
    </w:div>
    <w:div w:id="147015131">
      <w:bodyDiv w:val="1"/>
      <w:marLeft w:val="0"/>
      <w:marRight w:val="0"/>
      <w:marTop w:val="0"/>
      <w:marBottom w:val="0"/>
      <w:divBdr>
        <w:top w:val="none" w:sz="0" w:space="0" w:color="auto"/>
        <w:left w:val="none" w:sz="0" w:space="0" w:color="auto"/>
        <w:bottom w:val="none" w:sz="0" w:space="0" w:color="auto"/>
        <w:right w:val="none" w:sz="0" w:space="0" w:color="auto"/>
      </w:divBdr>
    </w:div>
    <w:div w:id="186869916">
      <w:bodyDiv w:val="1"/>
      <w:marLeft w:val="0"/>
      <w:marRight w:val="0"/>
      <w:marTop w:val="0"/>
      <w:marBottom w:val="0"/>
      <w:divBdr>
        <w:top w:val="none" w:sz="0" w:space="0" w:color="auto"/>
        <w:left w:val="none" w:sz="0" w:space="0" w:color="auto"/>
        <w:bottom w:val="none" w:sz="0" w:space="0" w:color="auto"/>
        <w:right w:val="none" w:sz="0" w:space="0" w:color="auto"/>
      </w:divBdr>
    </w:div>
    <w:div w:id="222302755">
      <w:bodyDiv w:val="1"/>
      <w:marLeft w:val="0"/>
      <w:marRight w:val="0"/>
      <w:marTop w:val="0"/>
      <w:marBottom w:val="0"/>
      <w:divBdr>
        <w:top w:val="none" w:sz="0" w:space="0" w:color="auto"/>
        <w:left w:val="none" w:sz="0" w:space="0" w:color="auto"/>
        <w:bottom w:val="none" w:sz="0" w:space="0" w:color="auto"/>
        <w:right w:val="none" w:sz="0" w:space="0" w:color="auto"/>
      </w:divBdr>
    </w:div>
    <w:div w:id="234050921">
      <w:bodyDiv w:val="1"/>
      <w:marLeft w:val="0"/>
      <w:marRight w:val="0"/>
      <w:marTop w:val="0"/>
      <w:marBottom w:val="0"/>
      <w:divBdr>
        <w:top w:val="none" w:sz="0" w:space="0" w:color="auto"/>
        <w:left w:val="none" w:sz="0" w:space="0" w:color="auto"/>
        <w:bottom w:val="none" w:sz="0" w:space="0" w:color="auto"/>
        <w:right w:val="none" w:sz="0" w:space="0" w:color="auto"/>
      </w:divBdr>
    </w:div>
    <w:div w:id="235356905">
      <w:bodyDiv w:val="1"/>
      <w:marLeft w:val="0"/>
      <w:marRight w:val="0"/>
      <w:marTop w:val="0"/>
      <w:marBottom w:val="0"/>
      <w:divBdr>
        <w:top w:val="none" w:sz="0" w:space="0" w:color="auto"/>
        <w:left w:val="none" w:sz="0" w:space="0" w:color="auto"/>
        <w:bottom w:val="none" w:sz="0" w:space="0" w:color="auto"/>
        <w:right w:val="none" w:sz="0" w:space="0" w:color="auto"/>
      </w:divBdr>
    </w:div>
    <w:div w:id="273560158">
      <w:bodyDiv w:val="1"/>
      <w:marLeft w:val="0"/>
      <w:marRight w:val="0"/>
      <w:marTop w:val="0"/>
      <w:marBottom w:val="0"/>
      <w:divBdr>
        <w:top w:val="none" w:sz="0" w:space="0" w:color="auto"/>
        <w:left w:val="none" w:sz="0" w:space="0" w:color="auto"/>
        <w:bottom w:val="none" w:sz="0" w:space="0" w:color="auto"/>
        <w:right w:val="none" w:sz="0" w:space="0" w:color="auto"/>
      </w:divBdr>
    </w:div>
    <w:div w:id="283539352">
      <w:bodyDiv w:val="1"/>
      <w:marLeft w:val="0"/>
      <w:marRight w:val="0"/>
      <w:marTop w:val="0"/>
      <w:marBottom w:val="0"/>
      <w:divBdr>
        <w:top w:val="none" w:sz="0" w:space="0" w:color="auto"/>
        <w:left w:val="none" w:sz="0" w:space="0" w:color="auto"/>
        <w:bottom w:val="none" w:sz="0" w:space="0" w:color="auto"/>
        <w:right w:val="none" w:sz="0" w:space="0" w:color="auto"/>
      </w:divBdr>
    </w:div>
    <w:div w:id="293756802">
      <w:bodyDiv w:val="1"/>
      <w:marLeft w:val="0"/>
      <w:marRight w:val="0"/>
      <w:marTop w:val="0"/>
      <w:marBottom w:val="0"/>
      <w:divBdr>
        <w:top w:val="none" w:sz="0" w:space="0" w:color="auto"/>
        <w:left w:val="none" w:sz="0" w:space="0" w:color="auto"/>
        <w:bottom w:val="none" w:sz="0" w:space="0" w:color="auto"/>
        <w:right w:val="none" w:sz="0" w:space="0" w:color="auto"/>
      </w:divBdr>
    </w:div>
    <w:div w:id="330790983">
      <w:bodyDiv w:val="1"/>
      <w:marLeft w:val="0"/>
      <w:marRight w:val="0"/>
      <w:marTop w:val="0"/>
      <w:marBottom w:val="0"/>
      <w:divBdr>
        <w:top w:val="none" w:sz="0" w:space="0" w:color="auto"/>
        <w:left w:val="none" w:sz="0" w:space="0" w:color="auto"/>
        <w:bottom w:val="none" w:sz="0" w:space="0" w:color="auto"/>
        <w:right w:val="none" w:sz="0" w:space="0" w:color="auto"/>
      </w:divBdr>
    </w:div>
    <w:div w:id="341199228">
      <w:bodyDiv w:val="1"/>
      <w:marLeft w:val="0"/>
      <w:marRight w:val="0"/>
      <w:marTop w:val="0"/>
      <w:marBottom w:val="0"/>
      <w:divBdr>
        <w:top w:val="none" w:sz="0" w:space="0" w:color="auto"/>
        <w:left w:val="none" w:sz="0" w:space="0" w:color="auto"/>
        <w:bottom w:val="none" w:sz="0" w:space="0" w:color="auto"/>
        <w:right w:val="none" w:sz="0" w:space="0" w:color="auto"/>
      </w:divBdr>
    </w:div>
    <w:div w:id="349988680">
      <w:bodyDiv w:val="1"/>
      <w:marLeft w:val="0"/>
      <w:marRight w:val="0"/>
      <w:marTop w:val="0"/>
      <w:marBottom w:val="0"/>
      <w:divBdr>
        <w:top w:val="none" w:sz="0" w:space="0" w:color="auto"/>
        <w:left w:val="none" w:sz="0" w:space="0" w:color="auto"/>
        <w:bottom w:val="none" w:sz="0" w:space="0" w:color="auto"/>
        <w:right w:val="none" w:sz="0" w:space="0" w:color="auto"/>
      </w:divBdr>
    </w:div>
    <w:div w:id="356085756">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2922095">
      <w:bodyDiv w:val="1"/>
      <w:marLeft w:val="0"/>
      <w:marRight w:val="0"/>
      <w:marTop w:val="0"/>
      <w:marBottom w:val="0"/>
      <w:divBdr>
        <w:top w:val="none" w:sz="0" w:space="0" w:color="auto"/>
        <w:left w:val="none" w:sz="0" w:space="0" w:color="auto"/>
        <w:bottom w:val="none" w:sz="0" w:space="0" w:color="auto"/>
        <w:right w:val="none" w:sz="0" w:space="0" w:color="auto"/>
      </w:divBdr>
    </w:div>
    <w:div w:id="411658231">
      <w:bodyDiv w:val="1"/>
      <w:marLeft w:val="0"/>
      <w:marRight w:val="0"/>
      <w:marTop w:val="0"/>
      <w:marBottom w:val="0"/>
      <w:divBdr>
        <w:top w:val="none" w:sz="0" w:space="0" w:color="auto"/>
        <w:left w:val="none" w:sz="0" w:space="0" w:color="auto"/>
        <w:bottom w:val="none" w:sz="0" w:space="0" w:color="auto"/>
        <w:right w:val="none" w:sz="0" w:space="0" w:color="auto"/>
      </w:divBdr>
    </w:div>
    <w:div w:id="419644854">
      <w:bodyDiv w:val="1"/>
      <w:marLeft w:val="0"/>
      <w:marRight w:val="0"/>
      <w:marTop w:val="0"/>
      <w:marBottom w:val="0"/>
      <w:divBdr>
        <w:top w:val="none" w:sz="0" w:space="0" w:color="auto"/>
        <w:left w:val="none" w:sz="0" w:space="0" w:color="auto"/>
        <w:bottom w:val="none" w:sz="0" w:space="0" w:color="auto"/>
        <w:right w:val="none" w:sz="0" w:space="0" w:color="auto"/>
      </w:divBdr>
    </w:div>
    <w:div w:id="420293303">
      <w:bodyDiv w:val="1"/>
      <w:marLeft w:val="0"/>
      <w:marRight w:val="0"/>
      <w:marTop w:val="0"/>
      <w:marBottom w:val="0"/>
      <w:divBdr>
        <w:top w:val="none" w:sz="0" w:space="0" w:color="auto"/>
        <w:left w:val="none" w:sz="0" w:space="0" w:color="auto"/>
        <w:bottom w:val="none" w:sz="0" w:space="0" w:color="auto"/>
        <w:right w:val="none" w:sz="0" w:space="0" w:color="auto"/>
      </w:divBdr>
    </w:div>
    <w:div w:id="462427828">
      <w:bodyDiv w:val="1"/>
      <w:marLeft w:val="0"/>
      <w:marRight w:val="0"/>
      <w:marTop w:val="0"/>
      <w:marBottom w:val="0"/>
      <w:divBdr>
        <w:top w:val="none" w:sz="0" w:space="0" w:color="auto"/>
        <w:left w:val="none" w:sz="0" w:space="0" w:color="auto"/>
        <w:bottom w:val="none" w:sz="0" w:space="0" w:color="auto"/>
        <w:right w:val="none" w:sz="0" w:space="0" w:color="auto"/>
      </w:divBdr>
    </w:div>
    <w:div w:id="471673187">
      <w:bodyDiv w:val="1"/>
      <w:marLeft w:val="0"/>
      <w:marRight w:val="0"/>
      <w:marTop w:val="0"/>
      <w:marBottom w:val="0"/>
      <w:divBdr>
        <w:top w:val="none" w:sz="0" w:space="0" w:color="auto"/>
        <w:left w:val="none" w:sz="0" w:space="0" w:color="auto"/>
        <w:bottom w:val="none" w:sz="0" w:space="0" w:color="auto"/>
        <w:right w:val="none" w:sz="0" w:space="0" w:color="auto"/>
      </w:divBdr>
    </w:div>
    <w:div w:id="476537799">
      <w:bodyDiv w:val="1"/>
      <w:marLeft w:val="30"/>
      <w:marRight w:val="30"/>
      <w:marTop w:val="0"/>
      <w:marBottom w:val="0"/>
      <w:divBdr>
        <w:top w:val="none" w:sz="0" w:space="0" w:color="auto"/>
        <w:left w:val="none" w:sz="0" w:space="0" w:color="auto"/>
        <w:bottom w:val="none" w:sz="0" w:space="0" w:color="auto"/>
        <w:right w:val="none" w:sz="0" w:space="0" w:color="auto"/>
      </w:divBdr>
      <w:divsChild>
        <w:div w:id="1065881041">
          <w:marLeft w:val="0"/>
          <w:marRight w:val="0"/>
          <w:marTop w:val="0"/>
          <w:marBottom w:val="0"/>
          <w:divBdr>
            <w:top w:val="none" w:sz="0" w:space="0" w:color="auto"/>
            <w:left w:val="none" w:sz="0" w:space="0" w:color="auto"/>
            <w:bottom w:val="none" w:sz="0" w:space="0" w:color="auto"/>
            <w:right w:val="none" w:sz="0" w:space="0" w:color="auto"/>
          </w:divBdr>
          <w:divsChild>
            <w:div w:id="1529026767">
              <w:marLeft w:val="0"/>
              <w:marRight w:val="0"/>
              <w:marTop w:val="0"/>
              <w:marBottom w:val="0"/>
              <w:divBdr>
                <w:top w:val="none" w:sz="0" w:space="0" w:color="auto"/>
                <w:left w:val="none" w:sz="0" w:space="0" w:color="auto"/>
                <w:bottom w:val="none" w:sz="0" w:space="0" w:color="auto"/>
                <w:right w:val="none" w:sz="0" w:space="0" w:color="auto"/>
              </w:divBdr>
              <w:divsChild>
                <w:div w:id="838814888">
                  <w:marLeft w:val="180"/>
                  <w:marRight w:val="0"/>
                  <w:marTop w:val="0"/>
                  <w:marBottom w:val="0"/>
                  <w:divBdr>
                    <w:top w:val="none" w:sz="0" w:space="0" w:color="auto"/>
                    <w:left w:val="none" w:sz="0" w:space="0" w:color="auto"/>
                    <w:bottom w:val="none" w:sz="0" w:space="0" w:color="auto"/>
                    <w:right w:val="none" w:sz="0" w:space="0" w:color="auto"/>
                  </w:divBdr>
                  <w:divsChild>
                    <w:div w:id="119049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315808">
      <w:bodyDiv w:val="1"/>
      <w:marLeft w:val="0"/>
      <w:marRight w:val="0"/>
      <w:marTop w:val="0"/>
      <w:marBottom w:val="0"/>
      <w:divBdr>
        <w:top w:val="none" w:sz="0" w:space="0" w:color="auto"/>
        <w:left w:val="none" w:sz="0" w:space="0" w:color="auto"/>
        <w:bottom w:val="none" w:sz="0" w:space="0" w:color="auto"/>
        <w:right w:val="none" w:sz="0" w:space="0" w:color="auto"/>
      </w:divBdr>
    </w:div>
    <w:div w:id="507906937">
      <w:bodyDiv w:val="1"/>
      <w:marLeft w:val="0"/>
      <w:marRight w:val="0"/>
      <w:marTop w:val="0"/>
      <w:marBottom w:val="0"/>
      <w:divBdr>
        <w:top w:val="none" w:sz="0" w:space="0" w:color="auto"/>
        <w:left w:val="none" w:sz="0" w:space="0" w:color="auto"/>
        <w:bottom w:val="none" w:sz="0" w:space="0" w:color="auto"/>
        <w:right w:val="none" w:sz="0" w:space="0" w:color="auto"/>
      </w:divBdr>
    </w:div>
    <w:div w:id="525484226">
      <w:bodyDiv w:val="1"/>
      <w:marLeft w:val="0"/>
      <w:marRight w:val="0"/>
      <w:marTop w:val="0"/>
      <w:marBottom w:val="0"/>
      <w:divBdr>
        <w:top w:val="none" w:sz="0" w:space="0" w:color="auto"/>
        <w:left w:val="none" w:sz="0" w:space="0" w:color="auto"/>
        <w:bottom w:val="none" w:sz="0" w:space="0" w:color="auto"/>
        <w:right w:val="none" w:sz="0" w:space="0" w:color="auto"/>
      </w:divBdr>
    </w:div>
    <w:div w:id="529807068">
      <w:bodyDiv w:val="1"/>
      <w:marLeft w:val="0"/>
      <w:marRight w:val="0"/>
      <w:marTop w:val="0"/>
      <w:marBottom w:val="0"/>
      <w:divBdr>
        <w:top w:val="none" w:sz="0" w:space="0" w:color="auto"/>
        <w:left w:val="none" w:sz="0" w:space="0" w:color="auto"/>
        <w:bottom w:val="none" w:sz="0" w:space="0" w:color="auto"/>
        <w:right w:val="none" w:sz="0" w:space="0" w:color="auto"/>
      </w:divBdr>
    </w:div>
    <w:div w:id="534270028">
      <w:bodyDiv w:val="1"/>
      <w:marLeft w:val="0"/>
      <w:marRight w:val="0"/>
      <w:marTop w:val="0"/>
      <w:marBottom w:val="0"/>
      <w:divBdr>
        <w:top w:val="none" w:sz="0" w:space="0" w:color="auto"/>
        <w:left w:val="none" w:sz="0" w:space="0" w:color="auto"/>
        <w:bottom w:val="none" w:sz="0" w:space="0" w:color="auto"/>
        <w:right w:val="none" w:sz="0" w:space="0" w:color="auto"/>
      </w:divBdr>
    </w:div>
    <w:div w:id="555512145">
      <w:bodyDiv w:val="1"/>
      <w:marLeft w:val="0"/>
      <w:marRight w:val="0"/>
      <w:marTop w:val="0"/>
      <w:marBottom w:val="0"/>
      <w:divBdr>
        <w:top w:val="none" w:sz="0" w:space="0" w:color="auto"/>
        <w:left w:val="none" w:sz="0" w:space="0" w:color="auto"/>
        <w:bottom w:val="none" w:sz="0" w:space="0" w:color="auto"/>
        <w:right w:val="none" w:sz="0" w:space="0" w:color="auto"/>
      </w:divBdr>
    </w:div>
    <w:div w:id="616528160">
      <w:bodyDiv w:val="1"/>
      <w:marLeft w:val="0"/>
      <w:marRight w:val="0"/>
      <w:marTop w:val="0"/>
      <w:marBottom w:val="0"/>
      <w:divBdr>
        <w:top w:val="none" w:sz="0" w:space="0" w:color="auto"/>
        <w:left w:val="none" w:sz="0" w:space="0" w:color="auto"/>
        <w:bottom w:val="none" w:sz="0" w:space="0" w:color="auto"/>
        <w:right w:val="none" w:sz="0" w:space="0" w:color="auto"/>
      </w:divBdr>
    </w:div>
    <w:div w:id="627198857">
      <w:bodyDiv w:val="1"/>
      <w:marLeft w:val="0"/>
      <w:marRight w:val="0"/>
      <w:marTop w:val="0"/>
      <w:marBottom w:val="0"/>
      <w:divBdr>
        <w:top w:val="none" w:sz="0" w:space="0" w:color="auto"/>
        <w:left w:val="none" w:sz="0" w:space="0" w:color="auto"/>
        <w:bottom w:val="none" w:sz="0" w:space="0" w:color="auto"/>
        <w:right w:val="none" w:sz="0" w:space="0" w:color="auto"/>
      </w:divBdr>
    </w:div>
    <w:div w:id="650213621">
      <w:bodyDiv w:val="1"/>
      <w:marLeft w:val="0"/>
      <w:marRight w:val="0"/>
      <w:marTop w:val="0"/>
      <w:marBottom w:val="0"/>
      <w:divBdr>
        <w:top w:val="none" w:sz="0" w:space="0" w:color="auto"/>
        <w:left w:val="none" w:sz="0" w:space="0" w:color="auto"/>
        <w:bottom w:val="none" w:sz="0" w:space="0" w:color="auto"/>
        <w:right w:val="none" w:sz="0" w:space="0" w:color="auto"/>
      </w:divBdr>
    </w:div>
    <w:div w:id="652103580">
      <w:bodyDiv w:val="1"/>
      <w:marLeft w:val="0"/>
      <w:marRight w:val="0"/>
      <w:marTop w:val="0"/>
      <w:marBottom w:val="0"/>
      <w:divBdr>
        <w:top w:val="none" w:sz="0" w:space="0" w:color="auto"/>
        <w:left w:val="none" w:sz="0" w:space="0" w:color="auto"/>
        <w:bottom w:val="none" w:sz="0" w:space="0" w:color="auto"/>
        <w:right w:val="none" w:sz="0" w:space="0" w:color="auto"/>
      </w:divBdr>
    </w:div>
    <w:div w:id="728266106">
      <w:bodyDiv w:val="1"/>
      <w:marLeft w:val="0"/>
      <w:marRight w:val="0"/>
      <w:marTop w:val="0"/>
      <w:marBottom w:val="0"/>
      <w:divBdr>
        <w:top w:val="none" w:sz="0" w:space="0" w:color="auto"/>
        <w:left w:val="none" w:sz="0" w:space="0" w:color="auto"/>
        <w:bottom w:val="none" w:sz="0" w:space="0" w:color="auto"/>
        <w:right w:val="none" w:sz="0" w:space="0" w:color="auto"/>
      </w:divBdr>
    </w:div>
    <w:div w:id="747767681">
      <w:bodyDiv w:val="1"/>
      <w:marLeft w:val="0"/>
      <w:marRight w:val="0"/>
      <w:marTop w:val="0"/>
      <w:marBottom w:val="0"/>
      <w:divBdr>
        <w:top w:val="none" w:sz="0" w:space="0" w:color="auto"/>
        <w:left w:val="none" w:sz="0" w:space="0" w:color="auto"/>
        <w:bottom w:val="none" w:sz="0" w:space="0" w:color="auto"/>
        <w:right w:val="none" w:sz="0" w:space="0" w:color="auto"/>
      </w:divBdr>
    </w:div>
    <w:div w:id="777602364">
      <w:bodyDiv w:val="1"/>
      <w:marLeft w:val="0"/>
      <w:marRight w:val="0"/>
      <w:marTop w:val="0"/>
      <w:marBottom w:val="0"/>
      <w:divBdr>
        <w:top w:val="none" w:sz="0" w:space="0" w:color="auto"/>
        <w:left w:val="none" w:sz="0" w:space="0" w:color="auto"/>
        <w:bottom w:val="none" w:sz="0" w:space="0" w:color="auto"/>
        <w:right w:val="none" w:sz="0" w:space="0" w:color="auto"/>
      </w:divBdr>
    </w:div>
    <w:div w:id="865142946">
      <w:bodyDiv w:val="1"/>
      <w:marLeft w:val="0"/>
      <w:marRight w:val="0"/>
      <w:marTop w:val="0"/>
      <w:marBottom w:val="0"/>
      <w:divBdr>
        <w:top w:val="none" w:sz="0" w:space="0" w:color="auto"/>
        <w:left w:val="none" w:sz="0" w:space="0" w:color="auto"/>
        <w:bottom w:val="none" w:sz="0" w:space="0" w:color="auto"/>
        <w:right w:val="none" w:sz="0" w:space="0" w:color="auto"/>
      </w:divBdr>
    </w:div>
    <w:div w:id="867912765">
      <w:bodyDiv w:val="1"/>
      <w:marLeft w:val="0"/>
      <w:marRight w:val="0"/>
      <w:marTop w:val="0"/>
      <w:marBottom w:val="0"/>
      <w:divBdr>
        <w:top w:val="none" w:sz="0" w:space="0" w:color="auto"/>
        <w:left w:val="none" w:sz="0" w:space="0" w:color="auto"/>
        <w:bottom w:val="none" w:sz="0" w:space="0" w:color="auto"/>
        <w:right w:val="none" w:sz="0" w:space="0" w:color="auto"/>
      </w:divBdr>
    </w:div>
    <w:div w:id="876239478">
      <w:bodyDiv w:val="1"/>
      <w:marLeft w:val="0"/>
      <w:marRight w:val="0"/>
      <w:marTop w:val="0"/>
      <w:marBottom w:val="0"/>
      <w:divBdr>
        <w:top w:val="none" w:sz="0" w:space="0" w:color="auto"/>
        <w:left w:val="none" w:sz="0" w:space="0" w:color="auto"/>
        <w:bottom w:val="none" w:sz="0" w:space="0" w:color="auto"/>
        <w:right w:val="none" w:sz="0" w:space="0" w:color="auto"/>
      </w:divBdr>
    </w:div>
    <w:div w:id="877813043">
      <w:bodyDiv w:val="1"/>
      <w:marLeft w:val="0"/>
      <w:marRight w:val="0"/>
      <w:marTop w:val="0"/>
      <w:marBottom w:val="0"/>
      <w:divBdr>
        <w:top w:val="none" w:sz="0" w:space="0" w:color="auto"/>
        <w:left w:val="none" w:sz="0" w:space="0" w:color="auto"/>
        <w:bottom w:val="none" w:sz="0" w:space="0" w:color="auto"/>
        <w:right w:val="none" w:sz="0" w:space="0" w:color="auto"/>
      </w:divBdr>
    </w:div>
    <w:div w:id="883636182">
      <w:bodyDiv w:val="1"/>
      <w:marLeft w:val="0"/>
      <w:marRight w:val="0"/>
      <w:marTop w:val="0"/>
      <w:marBottom w:val="0"/>
      <w:divBdr>
        <w:top w:val="none" w:sz="0" w:space="0" w:color="auto"/>
        <w:left w:val="none" w:sz="0" w:space="0" w:color="auto"/>
        <w:bottom w:val="none" w:sz="0" w:space="0" w:color="auto"/>
        <w:right w:val="none" w:sz="0" w:space="0" w:color="auto"/>
      </w:divBdr>
    </w:div>
    <w:div w:id="934365973">
      <w:bodyDiv w:val="1"/>
      <w:marLeft w:val="0"/>
      <w:marRight w:val="0"/>
      <w:marTop w:val="0"/>
      <w:marBottom w:val="0"/>
      <w:divBdr>
        <w:top w:val="none" w:sz="0" w:space="0" w:color="auto"/>
        <w:left w:val="none" w:sz="0" w:space="0" w:color="auto"/>
        <w:bottom w:val="none" w:sz="0" w:space="0" w:color="auto"/>
        <w:right w:val="none" w:sz="0" w:space="0" w:color="auto"/>
      </w:divBdr>
    </w:div>
    <w:div w:id="966199029">
      <w:bodyDiv w:val="1"/>
      <w:marLeft w:val="0"/>
      <w:marRight w:val="0"/>
      <w:marTop w:val="0"/>
      <w:marBottom w:val="0"/>
      <w:divBdr>
        <w:top w:val="none" w:sz="0" w:space="0" w:color="auto"/>
        <w:left w:val="none" w:sz="0" w:space="0" w:color="auto"/>
        <w:bottom w:val="none" w:sz="0" w:space="0" w:color="auto"/>
        <w:right w:val="none" w:sz="0" w:space="0" w:color="auto"/>
      </w:divBdr>
    </w:div>
    <w:div w:id="974334854">
      <w:bodyDiv w:val="1"/>
      <w:marLeft w:val="0"/>
      <w:marRight w:val="0"/>
      <w:marTop w:val="0"/>
      <w:marBottom w:val="0"/>
      <w:divBdr>
        <w:top w:val="none" w:sz="0" w:space="0" w:color="auto"/>
        <w:left w:val="none" w:sz="0" w:space="0" w:color="auto"/>
        <w:bottom w:val="none" w:sz="0" w:space="0" w:color="auto"/>
        <w:right w:val="none" w:sz="0" w:space="0" w:color="auto"/>
      </w:divBdr>
    </w:div>
    <w:div w:id="983197230">
      <w:bodyDiv w:val="1"/>
      <w:marLeft w:val="0"/>
      <w:marRight w:val="0"/>
      <w:marTop w:val="0"/>
      <w:marBottom w:val="0"/>
      <w:divBdr>
        <w:top w:val="none" w:sz="0" w:space="0" w:color="auto"/>
        <w:left w:val="none" w:sz="0" w:space="0" w:color="auto"/>
        <w:bottom w:val="none" w:sz="0" w:space="0" w:color="auto"/>
        <w:right w:val="none" w:sz="0" w:space="0" w:color="auto"/>
      </w:divBdr>
    </w:div>
    <w:div w:id="990211187">
      <w:bodyDiv w:val="1"/>
      <w:marLeft w:val="0"/>
      <w:marRight w:val="0"/>
      <w:marTop w:val="0"/>
      <w:marBottom w:val="0"/>
      <w:divBdr>
        <w:top w:val="none" w:sz="0" w:space="0" w:color="auto"/>
        <w:left w:val="none" w:sz="0" w:space="0" w:color="auto"/>
        <w:bottom w:val="none" w:sz="0" w:space="0" w:color="auto"/>
        <w:right w:val="none" w:sz="0" w:space="0" w:color="auto"/>
      </w:divBdr>
    </w:div>
    <w:div w:id="1019048315">
      <w:bodyDiv w:val="1"/>
      <w:marLeft w:val="0"/>
      <w:marRight w:val="0"/>
      <w:marTop w:val="0"/>
      <w:marBottom w:val="0"/>
      <w:divBdr>
        <w:top w:val="none" w:sz="0" w:space="0" w:color="auto"/>
        <w:left w:val="none" w:sz="0" w:space="0" w:color="auto"/>
        <w:bottom w:val="none" w:sz="0" w:space="0" w:color="auto"/>
        <w:right w:val="none" w:sz="0" w:space="0" w:color="auto"/>
      </w:divBdr>
    </w:div>
    <w:div w:id="1024483545">
      <w:bodyDiv w:val="1"/>
      <w:marLeft w:val="0"/>
      <w:marRight w:val="0"/>
      <w:marTop w:val="0"/>
      <w:marBottom w:val="0"/>
      <w:divBdr>
        <w:top w:val="none" w:sz="0" w:space="0" w:color="auto"/>
        <w:left w:val="none" w:sz="0" w:space="0" w:color="auto"/>
        <w:bottom w:val="none" w:sz="0" w:space="0" w:color="auto"/>
        <w:right w:val="none" w:sz="0" w:space="0" w:color="auto"/>
      </w:divBdr>
    </w:div>
    <w:div w:id="1072237438">
      <w:bodyDiv w:val="1"/>
      <w:marLeft w:val="0"/>
      <w:marRight w:val="0"/>
      <w:marTop w:val="0"/>
      <w:marBottom w:val="0"/>
      <w:divBdr>
        <w:top w:val="none" w:sz="0" w:space="0" w:color="auto"/>
        <w:left w:val="none" w:sz="0" w:space="0" w:color="auto"/>
        <w:bottom w:val="none" w:sz="0" w:space="0" w:color="auto"/>
        <w:right w:val="none" w:sz="0" w:space="0" w:color="auto"/>
      </w:divBdr>
    </w:div>
    <w:div w:id="1078291032">
      <w:bodyDiv w:val="1"/>
      <w:marLeft w:val="0"/>
      <w:marRight w:val="0"/>
      <w:marTop w:val="0"/>
      <w:marBottom w:val="0"/>
      <w:divBdr>
        <w:top w:val="none" w:sz="0" w:space="0" w:color="auto"/>
        <w:left w:val="none" w:sz="0" w:space="0" w:color="auto"/>
        <w:bottom w:val="none" w:sz="0" w:space="0" w:color="auto"/>
        <w:right w:val="none" w:sz="0" w:space="0" w:color="auto"/>
      </w:divBdr>
    </w:div>
    <w:div w:id="1200820807">
      <w:bodyDiv w:val="1"/>
      <w:marLeft w:val="0"/>
      <w:marRight w:val="0"/>
      <w:marTop w:val="0"/>
      <w:marBottom w:val="0"/>
      <w:divBdr>
        <w:top w:val="none" w:sz="0" w:space="0" w:color="auto"/>
        <w:left w:val="none" w:sz="0" w:space="0" w:color="auto"/>
        <w:bottom w:val="none" w:sz="0" w:space="0" w:color="auto"/>
        <w:right w:val="none" w:sz="0" w:space="0" w:color="auto"/>
      </w:divBdr>
    </w:div>
    <w:div w:id="1215002075">
      <w:bodyDiv w:val="1"/>
      <w:marLeft w:val="0"/>
      <w:marRight w:val="0"/>
      <w:marTop w:val="0"/>
      <w:marBottom w:val="0"/>
      <w:divBdr>
        <w:top w:val="none" w:sz="0" w:space="0" w:color="auto"/>
        <w:left w:val="none" w:sz="0" w:space="0" w:color="auto"/>
        <w:bottom w:val="none" w:sz="0" w:space="0" w:color="auto"/>
        <w:right w:val="none" w:sz="0" w:space="0" w:color="auto"/>
      </w:divBdr>
    </w:div>
    <w:div w:id="1218129032">
      <w:bodyDiv w:val="1"/>
      <w:marLeft w:val="0"/>
      <w:marRight w:val="0"/>
      <w:marTop w:val="0"/>
      <w:marBottom w:val="0"/>
      <w:divBdr>
        <w:top w:val="none" w:sz="0" w:space="0" w:color="auto"/>
        <w:left w:val="none" w:sz="0" w:space="0" w:color="auto"/>
        <w:bottom w:val="none" w:sz="0" w:space="0" w:color="auto"/>
        <w:right w:val="none" w:sz="0" w:space="0" w:color="auto"/>
      </w:divBdr>
    </w:div>
    <w:div w:id="1236165817">
      <w:bodyDiv w:val="1"/>
      <w:marLeft w:val="0"/>
      <w:marRight w:val="0"/>
      <w:marTop w:val="0"/>
      <w:marBottom w:val="0"/>
      <w:divBdr>
        <w:top w:val="none" w:sz="0" w:space="0" w:color="auto"/>
        <w:left w:val="none" w:sz="0" w:space="0" w:color="auto"/>
        <w:bottom w:val="none" w:sz="0" w:space="0" w:color="auto"/>
        <w:right w:val="none" w:sz="0" w:space="0" w:color="auto"/>
      </w:divBdr>
    </w:div>
    <w:div w:id="1241602235">
      <w:bodyDiv w:val="1"/>
      <w:marLeft w:val="0"/>
      <w:marRight w:val="0"/>
      <w:marTop w:val="0"/>
      <w:marBottom w:val="0"/>
      <w:divBdr>
        <w:top w:val="none" w:sz="0" w:space="0" w:color="auto"/>
        <w:left w:val="none" w:sz="0" w:space="0" w:color="auto"/>
        <w:bottom w:val="none" w:sz="0" w:space="0" w:color="auto"/>
        <w:right w:val="none" w:sz="0" w:space="0" w:color="auto"/>
      </w:divBdr>
    </w:div>
    <w:div w:id="1257598825">
      <w:bodyDiv w:val="1"/>
      <w:marLeft w:val="0"/>
      <w:marRight w:val="0"/>
      <w:marTop w:val="0"/>
      <w:marBottom w:val="0"/>
      <w:divBdr>
        <w:top w:val="none" w:sz="0" w:space="0" w:color="auto"/>
        <w:left w:val="none" w:sz="0" w:space="0" w:color="auto"/>
        <w:bottom w:val="none" w:sz="0" w:space="0" w:color="auto"/>
        <w:right w:val="none" w:sz="0" w:space="0" w:color="auto"/>
      </w:divBdr>
    </w:div>
    <w:div w:id="1328636597">
      <w:bodyDiv w:val="1"/>
      <w:marLeft w:val="0"/>
      <w:marRight w:val="0"/>
      <w:marTop w:val="0"/>
      <w:marBottom w:val="0"/>
      <w:divBdr>
        <w:top w:val="none" w:sz="0" w:space="0" w:color="auto"/>
        <w:left w:val="none" w:sz="0" w:space="0" w:color="auto"/>
        <w:bottom w:val="none" w:sz="0" w:space="0" w:color="auto"/>
        <w:right w:val="none" w:sz="0" w:space="0" w:color="auto"/>
      </w:divBdr>
    </w:div>
    <w:div w:id="1350988936">
      <w:bodyDiv w:val="1"/>
      <w:marLeft w:val="0"/>
      <w:marRight w:val="0"/>
      <w:marTop w:val="0"/>
      <w:marBottom w:val="0"/>
      <w:divBdr>
        <w:top w:val="none" w:sz="0" w:space="0" w:color="auto"/>
        <w:left w:val="none" w:sz="0" w:space="0" w:color="auto"/>
        <w:bottom w:val="none" w:sz="0" w:space="0" w:color="auto"/>
        <w:right w:val="none" w:sz="0" w:space="0" w:color="auto"/>
      </w:divBdr>
    </w:div>
    <w:div w:id="1352956725">
      <w:bodyDiv w:val="1"/>
      <w:marLeft w:val="0"/>
      <w:marRight w:val="0"/>
      <w:marTop w:val="0"/>
      <w:marBottom w:val="0"/>
      <w:divBdr>
        <w:top w:val="none" w:sz="0" w:space="0" w:color="auto"/>
        <w:left w:val="none" w:sz="0" w:space="0" w:color="auto"/>
        <w:bottom w:val="none" w:sz="0" w:space="0" w:color="auto"/>
        <w:right w:val="none" w:sz="0" w:space="0" w:color="auto"/>
      </w:divBdr>
    </w:div>
    <w:div w:id="1380124892">
      <w:bodyDiv w:val="1"/>
      <w:marLeft w:val="0"/>
      <w:marRight w:val="0"/>
      <w:marTop w:val="0"/>
      <w:marBottom w:val="0"/>
      <w:divBdr>
        <w:top w:val="none" w:sz="0" w:space="0" w:color="auto"/>
        <w:left w:val="none" w:sz="0" w:space="0" w:color="auto"/>
        <w:bottom w:val="none" w:sz="0" w:space="0" w:color="auto"/>
        <w:right w:val="none" w:sz="0" w:space="0" w:color="auto"/>
      </w:divBdr>
    </w:div>
    <w:div w:id="1384059346">
      <w:bodyDiv w:val="1"/>
      <w:marLeft w:val="0"/>
      <w:marRight w:val="0"/>
      <w:marTop w:val="0"/>
      <w:marBottom w:val="0"/>
      <w:divBdr>
        <w:top w:val="none" w:sz="0" w:space="0" w:color="auto"/>
        <w:left w:val="none" w:sz="0" w:space="0" w:color="auto"/>
        <w:bottom w:val="none" w:sz="0" w:space="0" w:color="auto"/>
        <w:right w:val="none" w:sz="0" w:space="0" w:color="auto"/>
      </w:divBdr>
    </w:div>
    <w:div w:id="1410231100">
      <w:bodyDiv w:val="1"/>
      <w:marLeft w:val="0"/>
      <w:marRight w:val="0"/>
      <w:marTop w:val="0"/>
      <w:marBottom w:val="0"/>
      <w:divBdr>
        <w:top w:val="none" w:sz="0" w:space="0" w:color="auto"/>
        <w:left w:val="none" w:sz="0" w:space="0" w:color="auto"/>
        <w:bottom w:val="none" w:sz="0" w:space="0" w:color="auto"/>
        <w:right w:val="none" w:sz="0" w:space="0" w:color="auto"/>
      </w:divBdr>
    </w:div>
    <w:div w:id="1444037030">
      <w:bodyDiv w:val="1"/>
      <w:marLeft w:val="0"/>
      <w:marRight w:val="0"/>
      <w:marTop w:val="0"/>
      <w:marBottom w:val="0"/>
      <w:divBdr>
        <w:top w:val="none" w:sz="0" w:space="0" w:color="auto"/>
        <w:left w:val="none" w:sz="0" w:space="0" w:color="auto"/>
        <w:bottom w:val="none" w:sz="0" w:space="0" w:color="auto"/>
        <w:right w:val="none" w:sz="0" w:space="0" w:color="auto"/>
      </w:divBdr>
    </w:div>
    <w:div w:id="1591429181">
      <w:bodyDiv w:val="1"/>
      <w:marLeft w:val="0"/>
      <w:marRight w:val="0"/>
      <w:marTop w:val="0"/>
      <w:marBottom w:val="0"/>
      <w:divBdr>
        <w:top w:val="none" w:sz="0" w:space="0" w:color="auto"/>
        <w:left w:val="none" w:sz="0" w:space="0" w:color="auto"/>
        <w:bottom w:val="none" w:sz="0" w:space="0" w:color="auto"/>
        <w:right w:val="none" w:sz="0" w:space="0" w:color="auto"/>
      </w:divBdr>
    </w:div>
    <w:div w:id="1607151375">
      <w:bodyDiv w:val="1"/>
      <w:marLeft w:val="0"/>
      <w:marRight w:val="0"/>
      <w:marTop w:val="0"/>
      <w:marBottom w:val="0"/>
      <w:divBdr>
        <w:top w:val="none" w:sz="0" w:space="0" w:color="auto"/>
        <w:left w:val="none" w:sz="0" w:space="0" w:color="auto"/>
        <w:bottom w:val="none" w:sz="0" w:space="0" w:color="auto"/>
        <w:right w:val="none" w:sz="0" w:space="0" w:color="auto"/>
      </w:divBdr>
    </w:div>
    <w:div w:id="1631403266">
      <w:bodyDiv w:val="1"/>
      <w:marLeft w:val="0"/>
      <w:marRight w:val="0"/>
      <w:marTop w:val="0"/>
      <w:marBottom w:val="0"/>
      <w:divBdr>
        <w:top w:val="none" w:sz="0" w:space="0" w:color="auto"/>
        <w:left w:val="none" w:sz="0" w:space="0" w:color="auto"/>
        <w:bottom w:val="none" w:sz="0" w:space="0" w:color="auto"/>
        <w:right w:val="none" w:sz="0" w:space="0" w:color="auto"/>
      </w:divBdr>
    </w:div>
    <w:div w:id="1655183629">
      <w:bodyDiv w:val="1"/>
      <w:marLeft w:val="0"/>
      <w:marRight w:val="0"/>
      <w:marTop w:val="0"/>
      <w:marBottom w:val="0"/>
      <w:divBdr>
        <w:top w:val="none" w:sz="0" w:space="0" w:color="auto"/>
        <w:left w:val="none" w:sz="0" w:space="0" w:color="auto"/>
        <w:bottom w:val="none" w:sz="0" w:space="0" w:color="auto"/>
        <w:right w:val="none" w:sz="0" w:space="0" w:color="auto"/>
      </w:divBdr>
    </w:div>
    <w:div w:id="1662585783">
      <w:bodyDiv w:val="1"/>
      <w:marLeft w:val="0"/>
      <w:marRight w:val="0"/>
      <w:marTop w:val="0"/>
      <w:marBottom w:val="0"/>
      <w:divBdr>
        <w:top w:val="none" w:sz="0" w:space="0" w:color="auto"/>
        <w:left w:val="none" w:sz="0" w:space="0" w:color="auto"/>
        <w:bottom w:val="none" w:sz="0" w:space="0" w:color="auto"/>
        <w:right w:val="none" w:sz="0" w:space="0" w:color="auto"/>
      </w:divBdr>
    </w:div>
    <w:div w:id="1739670492">
      <w:bodyDiv w:val="1"/>
      <w:marLeft w:val="0"/>
      <w:marRight w:val="0"/>
      <w:marTop w:val="0"/>
      <w:marBottom w:val="0"/>
      <w:divBdr>
        <w:top w:val="none" w:sz="0" w:space="0" w:color="auto"/>
        <w:left w:val="none" w:sz="0" w:space="0" w:color="auto"/>
        <w:bottom w:val="none" w:sz="0" w:space="0" w:color="auto"/>
        <w:right w:val="none" w:sz="0" w:space="0" w:color="auto"/>
      </w:divBdr>
    </w:div>
    <w:div w:id="1893494500">
      <w:bodyDiv w:val="1"/>
      <w:marLeft w:val="0"/>
      <w:marRight w:val="0"/>
      <w:marTop w:val="0"/>
      <w:marBottom w:val="0"/>
      <w:divBdr>
        <w:top w:val="none" w:sz="0" w:space="0" w:color="auto"/>
        <w:left w:val="none" w:sz="0" w:space="0" w:color="auto"/>
        <w:bottom w:val="none" w:sz="0" w:space="0" w:color="auto"/>
        <w:right w:val="none" w:sz="0" w:space="0" w:color="auto"/>
      </w:divBdr>
    </w:div>
    <w:div w:id="1894850300">
      <w:bodyDiv w:val="1"/>
      <w:marLeft w:val="0"/>
      <w:marRight w:val="0"/>
      <w:marTop w:val="0"/>
      <w:marBottom w:val="0"/>
      <w:divBdr>
        <w:top w:val="none" w:sz="0" w:space="0" w:color="auto"/>
        <w:left w:val="none" w:sz="0" w:space="0" w:color="auto"/>
        <w:bottom w:val="none" w:sz="0" w:space="0" w:color="auto"/>
        <w:right w:val="none" w:sz="0" w:space="0" w:color="auto"/>
      </w:divBdr>
    </w:div>
    <w:div w:id="1910577792">
      <w:bodyDiv w:val="1"/>
      <w:marLeft w:val="0"/>
      <w:marRight w:val="0"/>
      <w:marTop w:val="0"/>
      <w:marBottom w:val="0"/>
      <w:divBdr>
        <w:top w:val="none" w:sz="0" w:space="0" w:color="auto"/>
        <w:left w:val="none" w:sz="0" w:space="0" w:color="auto"/>
        <w:bottom w:val="none" w:sz="0" w:space="0" w:color="auto"/>
        <w:right w:val="none" w:sz="0" w:space="0" w:color="auto"/>
      </w:divBdr>
    </w:div>
    <w:div w:id="1938368900">
      <w:bodyDiv w:val="1"/>
      <w:marLeft w:val="0"/>
      <w:marRight w:val="0"/>
      <w:marTop w:val="0"/>
      <w:marBottom w:val="0"/>
      <w:divBdr>
        <w:top w:val="none" w:sz="0" w:space="0" w:color="auto"/>
        <w:left w:val="none" w:sz="0" w:space="0" w:color="auto"/>
        <w:bottom w:val="none" w:sz="0" w:space="0" w:color="auto"/>
        <w:right w:val="none" w:sz="0" w:space="0" w:color="auto"/>
      </w:divBdr>
    </w:div>
    <w:div w:id="1963148170">
      <w:bodyDiv w:val="1"/>
      <w:marLeft w:val="0"/>
      <w:marRight w:val="0"/>
      <w:marTop w:val="0"/>
      <w:marBottom w:val="0"/>
      <w:divBdr>
        <w:top w:val="none" w:sz="0" w:space="0" w:color="auto"/>
        <w:left w:val="none" w:sz="0" w:space="0" w:color="auto"/>
        <w:bottom w:val="none" w:sz="0" w:space="0" w:color="auto"/>
        <w:right w:val="none" w:sz="0" w:space="0" w:color="auto"/>
      </w:divBdr>
    </w:div>
    <w:div w:id="1992588912">
      <w:bodyDiv w:val="1"/>
      <w:marLeft w:val="0"/>
      <w:marRight w:val="0"/>
      <w:marTop w:val="0"/>
      <w:marBottom w:val="0"/>
      <w:divBdr>
        <w:top w:val="none" w:sz="0" w:space="0" w:color="auto"/>
        <w:left w:val="none" w:sz="0" w:space="0" w:color="auto"/>
        <w:bottom w:val="none" w:sz="0" w:space="0" w:color="auto"/>
        <w:right w:val="none" w:sz="0" w:space="0" w:color="auto"/>
      </w:divBdr>
    </w:div>
    <w:div w:id="2010986554">
      <w:bodyDiv w:val="1"/>
      <w:marLeft w:val="0"/>
      <w:marRight w:val="0"/>
      <w:marTop w:val="0"/>
      <w:marBottom w:val="0"/>
      <w:divBdr>
        <w:top w:val="none" w:sz="0" w:space="0" w:color="auto"/>
        <w:left w:val="none" w:sz="0" w:space="0" w:color="auto"/>
        <w:bottom w:val="none" w:sz="0" w:space="0" w:color="auto"/>
        <w:right w:val="none" w:sz="0" w:space="0" w:color="auto"/>
      </w:divBdr>
    </w:div>
    <w:div w:id="2050956065">
      <w:bodyDiv w:val="1"/>
      <w:marLeft w:val="0"/>
      <w:marRight w:val="0"/>
      <w:marTop w:val="0"/>
      <w:marBottom w:val="0"/>
      <w:divBdr>
        <w:top w:val="none" w:sz="0" w:space="0" w:color="auto"/>
        <w:left w:val="none" w:sz="0" w:space="0" w:color="auto"/>
        <w:bottom w:val="none" w:sz="0" w:space="0" w:color="auto"/>
        <w:right w:val="none" w:sz="0" w:space="0" w:color="auto"/>
      </w:divBdr>
    </w:div>
    <w:div w:id="2052923021">
      <w:bodyDiv w:val="1"/>
      <w:marLeft w:val="0"/>
      <w:marRight w:val="0"/>
      <w:marTop w:val="0"/>
      <w:marBottom w:val="0"/>
      <w:divBdr>
        <w:top w:val="none" w:sz="0" w:space="0" w:color="auto"/>
        <w:left w:val="none" w:sz="0" w:space="0" w:color="auto"/>
        <w:bottom w:val="none" w:sz="0" w:space="0" w:color="auto"/>
        <w:right w:val="none" w:sz="0" w:space="0" w:color="auto"/>
      </w:divBdr>
    </w:div>
    <w:div w:id="2052992969">
      <w:bodyDiv w:val="1"/>
      <w:marLeft w:val="0"/>
      <w:marRight w:val="0"/>
      <w:marTop w:val="0"/>
      <w:marBottom w:val="0"/>
      <w:divBdr>
        <w:top w:val="none" w:sz="0" w:space="0" w:color="auto"/>
        <w:left w:val="none" w:sz="0" w:space="0" w:color="auto"/>
        <w:bottom w:val="none" w:sz="0" w:space="0" w:color="auto"/>
        <w:right w:val="none" w:sz="0" w:space="0" w:color="auto"/>
      </w:divBdr>
    </w:div>
    <w:div w:id="2096896515">
      <w:bodyDiv w:val="1"/>
      <w:marLeft w:val="0"/>
      <w:marRight w:val="0"/>
      <w:marTop w:val="0"/>
      <w:marBottom w:val="0"/>
      <w:divBdr>
        <w:top w:val="none" w:sz="0" w:space="0" w:color="auto"/>
        <w:left w:val="none" w:sz="0" w:space="0" w:color="auto"/>
        <w:bottom w:val="none" w:sz="0" w:space="0" w:color="auto"/>
        <w:right w:val="none" w:sz="0" w:space="0" w:color="auto"/>
      </w:divBdr>
    </w:div>
    <w:div w:id="2126077836">
      <w:bodyDiv w:val="1"/>
      <w:marLeft w:val="0"/>
      <w:marRight w:val="0"/>
      <w:marTop w:val="0"/>
      <w:marBottom w:val="0"/>
      <w:divBdr>
        <w:top w:val="none" w:sz="0" w:space="0" w:color="auto"/>
        <w:left w:val="none" w:sz="0" w:space="0" w:color="auto"/>
        <w:bottom w:val="none" w:sz="0" w:space="0" w:color="auto"/>
        <w:right w:val="none" w:sz="0" w:space="0" w:color="auto"/>
      </w:divBdr>
    </w:div>
    <w:div w:id="2142116973">
      <w:bodyDiv w:val="1"/>
      <w:marLeft w:val="0"/>
      <w:marRight w:val="0"/>
      <w:marTop w:val="0"/>
      <w:marBottom w:val="0"/>
      <w:divBdr>
        <w:top w:val="none" w:sz="0" w:space="0" w:color="auto"/>
        <w:left w:val="none" w:sz="0" w:space="0" w:color="auto"/>
        <w:bottom w:val="none" w:sz="0" w:space="0" w:color="auto"/>
        <w:right w:val="none" w:sz="0" w:space="0" w:color="auto"/>
      </w:divBdr>
    </w:div>
    <w:div w:id="21432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rsk-1.ru/information/affiliates/201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7E5F8-C8FE-4AE7-80F4-160A99F9D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11024</Words>
  <Characters>57328</Characters>
  <Application>Microsoft Office Word</Application>
  <DocSecurity>0</DocSecurity>
  <Lines>2492</Lines>
  <Paragraphs>1752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corssys</Company>
  <LinksUpToDate>false</LinksUpToDate>
  <CharactersWithSpaces>66600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Tokareva</dc:creator>
  <cp:lastModifiedBy>OLEG</cp:lastModifiedBy>
  <cp:revision>16</cp:revision>
  <cp:lastPrinted>2015-02-24T15:50:00Z</cp:lastPrinted>
  <dcterms:created xsi:type="dcterms:W3CDTF">2015-03-11T13:12:00Z</dcterms:created>
  <dcterms:modified xsi:type="dcterms:W3CDTF">2015-03-11T13:45:00Z</dcterms:modified>
</cp:coreProperties>
</file>